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EE2D" w14:textId="77777777" w:rsidR="00C263E2" w:rsidRPr="00221D26" w:rsidRDefault="00C263E2" w:rsidP="00221D26">
      <w:pPr>
        <w:jc w:val="center"/>
        <w:rPr>
          <w:b/>
        </w:rPr>
      </w:pPr>
      <w:bookmarkStart w:id="0" w:name="_GoBack"/>
      <w:bookmarkEnd w:id="0"/>
      <w:r w:rsidRPr="00221D26">
        <w:rPr>
          <w:b/>
        </w:rPr>
        <w:t>LOCAL OPTION</w:t>
      </w:r>
    </w:p>
    <w:p w14:paraId="5BDD09FD" w14:textId="77777777" w:rsidR="00C263E2" w:rsidRPr="00221D26" w:rsidRDefault="00C263E2" w:rsidP="00221D26">
      <w:pPr>
        <w:jc w:val="center"/>
        <w:rPr>
          <w:b/>
        </w:rPr>
      </w:pPr>
      <w:r w:rsidRPr="00221D26">
        <w:rPr>
          <w:b/>
        </w:rPr>
        <w:t>REAL ESTATE TRANSFER DISCLOSURE STATEMENT</w:t>
      </w:r>
    </w:p>
    <w:p w14:paraId="49D5205A" w14:textId="77777777" w:rsidR="00C263E2" w:rsidRPr="00C263E2" w:rsidRDefault="00C263E2" w:rsidP="00221D26">
      <w:r w:rsidRPr="00C263E2">
        <w:t xml:space="preserve">THIS DISCLOSURE STATEMENT CONCERNS THE REAL PROPERTY SITUATED IN THE CITY AND COUNTY OF SAN FRANCISCO, STATE OF CALIFORNIA, DESCRIBED AS BLOCK ______, LOT _______, AT THE FOLLOWING STREET ADDRESS:________________________. THIS STATEMENT IS A DISCLOSURE OF THE CONDITION OF THE ABOVE-DESCRIBED PROPERTY IN COMPLIANCE WITH ORDINANCE NO. 181108, CODIFIED AS ARTICLE 51 OF THE SAN FRANCISCO POLICE CODE. IT IS NOT A WARRANTY OF ANY KIND BY THE TRANSFEROR(S) OR ANY AGENT(S) REPRESENTING ANY PRINCIPAL(S) IN THIS </w:t>
      </w:r>
      <w:proofErr w:type="gramStart"/>
      <w:r w:rsidRPr="00C263E2">
        <w:t>TRANSACTION, AND</w:t>
      </w:r>
      <w:proofErr w:type="gramEnd"/>
      <w:r w:rsidRPr="00C263E2">
        <w:t xml:space="preserve"> IS NOT A SUBSTITUTE FOR ANY INSPECTIONS OR WARRANTIES THE PRINCIPAL(S) MAY WISH TO OBTAIN. </w:t>
      </w:r>
    </w:p>
    <w:p w14:paraId="1046F6B0" w14:textId="77777777" w:rsidR="00C263E2" w:rsidRPr="00C263E2" w:rsidRDefault="00C263E2" w:rsidP="00221D26">
      <w:pPr>
        <w:jc w:val="center"/>
      </w:pPr>
      <w:r w:rsidRPr="00C263E2">
        <w:t>I</w:t>
      </w:r>
    </w:p>
    <w:p w14:paraId="0D727730" w14:textId="77777777" w:rsidR="00C263E2" w:rsidRPr="00C263E2" w:rsidRDefault="00C263E2" w:rsidP="00221D26">
      <w:pPr>
        <w:jc w:val="center"/>
      </w:pPr>
      <w:r w:rsidRPr="00C263E2">
        <w:t>TRANSFEROR’S INFORMATION</w:t>
      </w:r>
    </w:p>
    <w:p w14:paraId="7B531738" w14:textId="77777777" w:rsidR="00C263E2" w:rsidRPr="00C263E2" w:rsidRDefault="00C263E2" w:rsidP="00221D26">
      <w:r w:rsidRPr="00C263E2">
        <w:t xml:space="preserve">The Transferor discloses the following information with the knowledge that even though this is not a warranty, prospective Transferees may rely on this information in deciding whether and on what terms to purchase, rent, or lease the subject property. Transferor hereby authorizes any agent(s) representing any principal(s) in this transaction to provide a copy of this statement to any person or entity in connection with any actual or anticipated transfer (including any sale or lease) of the property. </w:t>
      </w:r>
    </w:p>
    <w:p w14:paraId="3DAEB4AF" w14:textId="77777777" w:rsidR="00C263E2" w:rsidRPr="00221D26" w:rsidRDefault="00C263E2" w:rsidP="00221D26">
      <w:pPr>
        <w:rPr>
          <w:i/>
        </w:rPr>
      </w:pPr>
      <w:r w:rsidRPr="00221D26">
        <w:rPr>
          <w:i/>
        </w:rPr>
        <w:t xml:space="preserve">THE FOLLOWING ARE REPRESENTATIONS MADE BY THE TRANSFEROR(S) AS REQUIRED BY THE CITY AND COUNTY OF SAN FRANCISCO AND ARE NOT THE REPRESENTATIONS OF THE AGENT(S), IF ANY. THIS INFORMATION IS A DISCLOSURE AND IS NOT INTENDED TO BE PART OF ANY CONTRACT BETWEEN THE TRANSFEROR AND TRANSFEREE. </w:t>
      </w:r>
    </w:p>
    <w:p w14:paraId="7256626E" w14:textId="77777777" w:rsidR="00C263E2" w:rsidRPr="00C263E2" w:rsidRDefault="00C263E2" w:rsidP="00221D26">
      <w:r w:rsidRPr="00C263E2">
        <w:t>The City and County of San Francisco recognizes that it is in the public interest to ensure that persons who own properties at risk of flooding have information about their flood risk so they can take steps to mitigate the risk, such as flood-proofing their property or purchasing flood insurance.  It is also in the public interest to ensure that before persons purchase, rent, or lease real property they have notice regarding the stormwater flood risk to their property.  Mandatory disclosure before sale, rent, or lease is an effective tool for ensuring that buyers and tenants of real property in San Francisco have access to this important information.</w:t>
      </w:r>
    </w:p>
    <w:p w14:paraId="770B1363" w14:textId="77777777" w:rsidR="00C263E2" w:rsidRPr="00C263E2" w:rsidRDefault="00C263E2" w:rsidP="00221D26">
      <w:r w:rsidRPr="00C263E2">
        <w:t xml:space="preserve">Accordingly, the San Francisco Public Utilities Commission has adopted the 100-Year Storm Flood Risk Map.  Your property </w:t>
      </w:r>
      <w:proofErr w:type="gramStart"/>
      <w:r w:rsidRPr="00C263E2">
        <w:t>is located in</w:t>
      </w:r>
      <w:proofErr w:type="gramEnd"/>
      <w:r w:rsidRPr="00C263E2">
        <w:t xml:space="preserve"> a “100-year storm flood risk zone” as shown on the 100-Year Storm Flood Risk Map.  Accordingly, your property may be subject to deep and contiguous flooding during a 100-year storm event due to stormwater flow and drainage, and you may experience inconveniences, costs, and governmental requirements related to that flooding.  </w:t>
      </w:r>
    </w:p>
    <w:p w14:paraId="7EF3BFDC" w14:textId="77777777" w:rsidR="00C263E2" w:rsidRPr="00C263E2" w:rsidRDefault="00C263E2" w:rsidP="00221D26">
      <w:r w:rsidRPr="00C263E2">
        <w:t xml:space="preserve">A 100-year storm event means a storm that has a 1% probability of occurring at a </w:t>
      </w:r>
      <w:proofErr w:type="gramStart"/>
      <w:r w:rsidRPr="00C263E2">
        <w:t>particular location</w:t>
      </w:r>
      <w:proofErr w:type="gramEnd"/>
      <w:r w:rsidRPr="00C263E2">
        <w:t xml:space="preserve"> in a given year.</w:t>
      </w:r>
    </w:p>
    <w:p w14:paraId="681467B6" w14:textId="77777777" w:rsidR="00C263E2" w:rsidRPr="00C263E2" w:rsidRDefault="00C263E2" w:rsidP="00221D26">
      <w:r w:rsidRPr="00C263E2">
        <w:lastRenderedPageBreak/>
        <w:t xml:space="preserve">If your property is in a “100-year storm flood risk zone” as shown on the 100-Year Storm Flood Risk Map, that does not mean your property is subject to flooding only during a 100-year storm event.  Your property may also flood at other times and from other causes. </w:t>
      </w:r>
    </w:p>
    <w:p w14:paraId="71DB96A4" w14:textId="77777777" w:rsidR="00C263E2" w:rsidRPr="00C263E2" w:rsidRDefault="00C263E2" w:rsidP="00221D26">
      <w:r w:rsidRPr="00C263E2">
        <w:t xml:space="preserve">The 100-Year Storm Flood Risk Map shows only areas subject to flood risk in a 100-year storm event due to precipitation and related stormwater runoff.  It does not show all areas of San Francisco that are subject to flood risk due to inundation, storm surge, high tides, stormwater systems blockages, or other causes of flooding, and should not be relied upon to provide a complete assessment of a property’s risk of flooding. </w:t>
      </w:r>
    </w:p>
    <w:p w14:paraId="102F1681" w14:textId="77777777" w:rsidR="00C263E2" w:rsidRPr="00C263E2" w:rsidRDefault="00C263E2" w:rsidP="00221D26">
      <w:r w:rsidRPr="00C263E2">
        <w:t xml:space="preserve">The 100-Year Storm Flood Risk Map may be found at https://www.sfwater.org/index.aspx?page=1229 and is on file with the San Francisco Public Utilities Commission at 525 Golden Gate Avenue, San Francisco, CA 94102.  For additional information pertaining to this disclosure and the 100-Year Storm Flood Risk Map, please contact the San Francisco Public Utilities Commission at RainReadySF@sfwater.org or (415) 695-7326. </w:t>
      </w:r>
    </w:p>
    <w:p w14:paraId="797F0F54" w14:textId="77777777" w:rsidR="00C263E2" w:rsidRPr="00C263E2" w:rsidRDefault="00C263E2" w:rsidP="00221D26">
      <w:r w:rsidRPr="00C263E2">
        <w:t xml:space="preserve">Transferor certifies that the information herein is true and correct to the best of the Transferor’s knowledge as of the date signed by the Transferor. </w:t>
      </w:r>
    </w:p>
    <w:p w14:paraId="1A7BF9C3" w14:textId="77777777" w:rsidR="00C263E2" w:rsidRPr="00C263E2" w:rsidRDefault="00C263E2" w:rsidP="00221D26">
      <w:r w:rsidRPr="00C263E2">
        <w:t xml:space="preserve">Transferor _______________________________________ Date _______________ </w:t>
      </w:r>
    </w:p>
    <w:p w14:paraId="21296537" w14:textId="77777777" w:rsidR="00C263E2" w:rsidRPr="00C263E2" w:rsidRDefault="00C263E2" w:rsidP="00221D26">
      <w:r w:rsidRPr="00C263E2">
        <w:t xml:space="preserve">Transferor _______________________________________ Date _______________ </w:t>
      </w:r>
    </w:p>
    <w:p w14:paraId="4C1CAB5F" w14:textId="77777777" w:rsidR="00C263E2" w:rsidRPr="00221D26" w:rsidRDefault="00C263E2" w:rsidP="00221D26">
      <w:pPr>
        <w:jc w:val="center"/>
        <w:rPr>
          <w:i/>
        </w:rPr>
      </w:pPr>
      <w:r w:rsidRPr="00221D26">
        <w:rPr>
          <w:i/>
        </w:rPr>
        <w:t>II</w:t>
      </w:r>
    </w:p>
    <w:p w14:paraId="02E744CA" w14:textId="77777777" w:rsidR="00C263E2" w:rsidRPr="00221D26" w:rsidRDefault="00C263E2" w:rsidP="00221D26">
      <w:pPr>
        <w:rPr>
          <w:i/>
        </w:rPr>
      </w:pPr>
      <w:r w:rsidRPr="00221D26">
        <w:rPr>
          <w:i/>
        </w:rPr>
        <w:t xml:space="preserve">TRANSFEREE(S) AND TRANSFEROR(S) MAY WISH TO OBTAIN PROFESSIONAL ADVICE AND/OR INSPECTIONS OF THE PROPERTY AND TO PROVIDE FOR APPROPRIATE PROVISIONS IN A CONTRACT BETWEEN TRANSFEREE(S) AND TRANSFEROR(S) WITH RESPECT TO ANY ADVICE/INSPECTIONS/DEFECTS. </w:t>
      </w:r>
    </w:p>
    <w:p w14:paraId="7D46B4B9" w14:textId="77777777" w:rsidR="00C263E2" w:rsidRPr="00221D26" w:rsidRDefault="00C263E2" w:rsidP="00221D26">
      <w:pPr>
        <w:rPr>
          <w:i/>
        </w:rPr>
      </w:pPr>
      <w:r w:rsidRPr="00221D26">
        <w:rPr>
          <w:i/>
        </w:rPr>
        <w:t xml:space="preserve">I/WE ACKNOWLEDGE RECEIPT OF A COPY OF THIS STATEMENT. </w:t>
      </w:r>
    </w:p>
    <w:p w14:paraId="1C901805" w14:textId="77777777" w:rsidR="00C263E2" w:rsidRPr="00C263E2" w:rsidRDefault="00C263E2" w:rsidP="00221D26">
      <w:r w:rsidRPr="00C263E2">
        <w:t xml:space="preserve">Transferor _______________ Date________ Transferee _____________ Date_________ </w:t>
      </w:r>
    </w:p>
    <w:p w14:paraId="5EF63721" w14:textId="77777777" w:rsidR="00C263E2" w:rsidRPr="00C263E2" w:rsidRDefault="00C263E2" w:rsidP="00221D26">
      <w:r w:rsidRPr="00C263E2">
        <w:t xml:space="preserve">Transferor _______________ Date________ Transferee _____________ Date_________ </w:t>
      </w:r>
    </w:p>
    <w:p w14:paraId="26ADD97C" w14:textId="77777777" w:rsidR="00C263E2" w:rsidRPr="00C263E2" w:rsidRDefault="00C263E2" w:rsidP="00221D26">
      <w:r w:rsidRPr="00C263E2">
        <w:t xml:space="preserve">Agent (Broker Representing Seller) _________________ By ________________ Date_______ </w:t>
      </w:r>
      <w:r w:rsidR="00221D26">
        <w:tab/>
      </w:r>
      <w:r w:rsidR="00221D26">
        <w:tab/>
      </w:r>
      <w:r w:rsidR="00221D26">
        <w:tab/>
      </w:r>
      <w:r w:rsidR="00221D26">
        <w:tab/>
      </w:r>
      <w:r w:rsidR="00221D26">
        <w:tab/>
      </w:r>
      <w:r w:rsidR="00221D26">
        <w:tab/>
      </w:r>
      <w:r w:rsidRPr="00C263E2">
        <w:t xml:space="preserve">(Please Print) (Associate Licensee or Broker-Signature) </w:t>
      </w:r>
    </w:p>
    <w:p w14:paraId="767D447B" w14:textId="77777777" w:rsidR="00C263E2" w:rsidRPr="00C263E2" w:rsidRDefault="00C263E2" w:rsidP="00221D26">
      <w:r w:rsidRPr="00C263E2">
        <w:t xml:space="preserve">Agent (Broker Obtaining the Offer) _________________ By _________________ Date_______ </w:t>
      </w:r>
      <w:r w:rsidR="00221D26">
        <w:tab/>
      </w:r>
      <w:r w:rsidR="00221D26">
        <w:tab/>
      </w:r>
      <w:r w:rsidR="00221D26">
        <w:tab/>
      </w:r>
      <w:r w:rsidR="00221D26">
        <w:tab/>
      </w:r>
      <w:r w:rsidRPr="00C263E2">
        <w:t xml:space="preserve">(Please Print) (Associate Licensee or Broker-Signature) </w:t>
      </w:r>
    </w:p>
    <w:p w14:paraId="3EB92C1A" w14:textId="77777777" w:rsidR="00C263E2" w:rsidRPr="00221D26" w:rsidRDefault="00C263E2" w:rsidP="00221D26">
      <w:pPr>
        <w:rPr>
          <w:i/>
        </w:rPr>
      </w:pPr>
      <w:r w:rsidRPr="00221D26">
        <w:rPr>
          <w:i/>
        </w:rPr>
        <w:t>A REAL ESTATE BROKER IS QUALIFIED TO ADVISE ON REAL ESTATE. IF YOU DESIRE LEGAL ADVICE, CONSULT YOUR ATTORNEY.</w:t>
      </w:r>
    </w:p>
    <w:p w14:paraId="60DDC061" w14:textId="77777777" w:rsidR="0097729C" w:rsidRPr="00C263E2" w:rsidRDefault="0097729C" w:rsidP="00221D26"/>
    <w:sectPr w:rsidR="0097729C" w:rsidRPr="00C263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B939" w14:textId="77777777" w:rsidR="00566D1F" w:rsidRDefault="00566D1F" w:rsidP="00F927EF">
      <w:r>
        <w:separator/>
      </w:r>
    </w:p>
  </w:endnote>
  <w:endnote w:type="continuationSeparator" w:id="0">
    <w:p w14:paraId="7E96003D" w14:textId="77777777" w:rsidR="00566D1F" w:rsidRDefault="00566D1F" w:rsidP="00F9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B97C" w14:textId="77777777" w:rsidR="00F927EF" w:rsidRPr="00C301BD" w:rsidRDefault="00F927EF" w:rsidP="00F927EF">
    <w:pPr>
      <w:pStyle w:val="Footer"/>
      <w:tabs>
        <w:tab w:val="clear" w:pos="8640"/>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2866" w14:textId="77777777" w:rsidR="00566D1F" w:rsidRDefault="00566D1F" w:rsidP="00F927EF">
      <w:r>
        <w:separator/>
      </w:r>
    </w:p>
  </w:footnote>
  <w:footnote w:type="continuationSeparator" w:id="0">
    <w:p w14:paraId="1E4339D1" w14:textId="77777777" w:rsidR="00566D1F" w:rsidRDefault="00566D1F" w:rsidP="00F9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CE4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C2F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22FF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B0F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DE47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98F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CC0B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22E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4E5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2E3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A32C25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1" w15:restartNumberingAfterBreak="0">
    <w:nsid w:val="10C162B5"/>
    <w:multiLevelType w:val="multilevel"/>
    <w:tmpl w:val="4FCA7D06"/>
    <w:styleLink w:val="CATTYList"/>
    <w:lvl w:ilvl="0">
      <w:start w:val="1"/>
      <w:numFmt w:val="none"/>
      <w:suff w:val="nothing"/>
      <w:lvlText w:val="%1"/>
      <w:lvlJc w:val="center"/>
      <w:pPr>
        <w:ind w:left="0" w:firstLine="0"/>
      </w:pPr>
      <w:rPr>
        <w:rFonts w:ascii="Times New Roman" w:hAnsi="Times New Roman" w:hint="default"/>
        <w:b/>
        <w:i w:val="0"/>
        <w:sz w:val="24"/>
      </w:rPr>
    </w:lvl>
    <w:lvl w:ilvl="1">
      <w:start w:val="1"/>
      <w:numFmt w:val="upperRoman"/>
      <w:lvlText w:val="%2."/>
      <w:lvlJc w:val="left"/>
      <w:pPr>
        <w:ind w:left="720" w:hanging="72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880" w:hanging="720"/>
      </w:pPr>
      <w:rPr>
        <w:rFonts w:ascii="Times New Roman" w:hAnsi="Times New Roman" w:hint="default"/>
        <w:b/>
        <w:i w:val="0"/>
        <w:sz w:val="24"/>
      </w:rPr>
    </w:lvl>
    <w:lvl w:ilvl="5">
      <w:start w:val="1"/>
      <w:numFmt w:val="lowerRoman"/>
      <w:lvlText w:val="%6."/>
      <w:lvlJc w:val="left"/>
      <w:pPr>
        <w:ind w:left="3600" w:hanging="720"/>
      </w:pPr>
      <w:rPr>
        <w:rFonts w:ascii="Times New Roman" w:hAnsi="Times New Roman" w:hint="default"/>
        <w:b/>
        <w:i w:val="0"/>
        <w:sz w:val="24"/>
      </w:rPr>
    </w:lvl>
    <w:lvl w:ilvl="6">
      <w:start w:val="1"/>
      <w:numFmt w:val="decimal"/>
      <w:lvlText w:val="(%7)"/>
      <w:lvlJc w:val="left"/>
      <w:pPr>
        <w:ind w:left="4320" w:hanging="720"/>
      </w:pPr>
      <w:rPr>
        <w:rFonts w:ascii="Times New Roman" w:hAnsi="Times New Roman" w:hint="default"/>
        <w:b/>
        <w:i w:val="0"/>
        <w:sz w:val="24"/>
      </w:rPr>
    </w:lvl>
    <w:lvl w:ilvl="7">
      <w:start w:val="1"/>
      <w:numFmt w:val="lowerLetter"/>
      <w:lvlText w:val="(%8)"/>
      <w:lvlJc w:val="left"/>
      <w:pPr>
        <w:ind w:left="5040" w:hanging="720"/>
      </w:pPr>
      <w:rPr>
        <w:rFonts w:ascii="Times New Roman" w:hAnsi="Times New Roman" w:hint="default"/>
        <w:b/>
        <w:i w:val="0"/>
        <w:sz w:val="24"/>
      </w:rPr>
    </w:lvl>
    <w:lvl w:ilvl="8">
      <w:start w:val="1"/>
      <w:numFmt w:val="lowerRoman"/>
      <w:lvlText w:val="(%9)"/>
      <w:lvlJc w:val="left"/>
      <w:pPr>
        <w:ind w:left="5760" w:hanging="720"/>
      </w:pPr>
      <w:rPr>
        <w:rFonts w:ascii="Times New Roman" w:hAnsi="Times New Roman" w:hint="default"/>
        <w:b/>
        <w:i w:val="0"/>
        <w:sz w:val="24"/>
      </w:rPr>
    </w:lvl>
  </w:abstractNum>
  <w:num w:numId="1">
    <w:abstractNumId w:val="11"/>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1"/>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3E2"/>
    <w:rsid w:val="00057042"/>
    <w:rsid w:val="001B32BD"/>
    <w:rsid w:val="00221D26"/>
    <w:rsid w:val="0029244E"/>
    <w:rsid w:val="00563BEE"/>
    <w:rsid w:val="00566D1F"/>
    <w:rsid w:val="006D4B3E"/>
    <w:rsid w:val="006F28EC"/>
    <w:rsid w:val="00745D25"/>
    <w:rsid w:val="0097729C"/>
    <w:rsid w:val="00BC1F29"/>
    <w:rsid w:val="00C0637A"/>
    <w:rsid w:val="00C263E2"/>
    <w:rsid w:val="00C301BD"/>
    <w:rsid w:val="00F9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A7B"/>
  <w15:docId w15:val="{47D773A5-DF0A-45F2-8541-EE4BCD39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D26"/>
    <w:pPr>
      <w:spacing w:after="240" w:line="240" w:lineRule="auto"/>
    </w:pPr>
    <w:rPr>
      <w:rFonts w:ascii="Times New Roman" w:hAnsi="Times New Roman" w:cs="Times New Roman"/>
      <w:sz w:val="24"/>
      <w:szCs w:val="20"/>
    </w:rPr>
  </w:style>
  <w:style w:type="paragraph" w:styleId="Heading1">
    <w:name w:val="heading 1"/>
    <w:next w:val="BodyText"/>
    <w:link w:val="Heading1Char"/>
    <w:qFormat/>
    <w:rsid w:val="0029244E"/>
    <w:pPr>
      <w:keepNext/>
      <w:numPr>
        <w:numId w:val="20"/>
      </w:numPr>
      <w:spacing w:before="120" w:after="120" w:line="240" w:lineRule="exact"/>
      <w:jc w:val="center"/>
      <w:outlineLvl w:val="0"/>
    </w:pPr>
    <w:rPr>
      <w:rFonts w:ascii="Times New Roman" w:hAnsi="Times New Roman" w:cs="Times New Roman"/>
      <w:b/>
      <w:kern w:val="28"/>
      <w:sz w:val="24"/>
      <w:szCs w:val="20"/>
    </w:rPr>
  </w:style>
  <w:style w:type="paragraph" w:styleId="Heading2">
    <w:name w:val="heading 2"/>
    <w:next w:val="BodyText"/>
    <w:link w:val="Heading2Char"/>
    <w:qFormat/>
    <w:rsid w:val="0029244E"/>
    <w:pPr>
      <w:keepNext/>
      <w:numPr>
        <w:ilvl w:val="1"/>
        <w:numId w:val="20"/>
      </w:numPr>
      <w:tabs>
        <w:tab w:val="left" w:pos="9360"/>
      </w:tabs>
      <w:spacing w:before="120" w:after="120" w:line="240" w:lineRule="exact"/>
      <w:outlineLvl w:val="1"/>
    </w:pPr>
    <w:rPr>
      <w:rFonts w:ascii="Times New Roman" w:hAnsi="Times New Roman" w:cs="Times New Roman"/>
      <w:b/>
      <w:sz w:val="24"/>
      <w:szCs w:val="20"/>
    </w:rPr>
  </w:style>
  <w:style w:type="paragraph" w:styleId="Heading3">
    <w:name w:val="heading 3"/>
    <w:basedOn w:val="Heading2"/>
    <w:next w:val="BodyText"/>
    <w:link w:val="Heading3Char"/>
    <w:qFormat/>
    <w:rsid w:val="0029244E"/>
    <w:pPr>
      <w:numPr>
        <w:ilvl w:val="2"/>
      </w:numPr>
      <w:outlineLvl w:val="2"/>
    </w:pPr>
  </w:style>
  <w:style w:type="paragraph" w:styleId="Heading4">
    <w:name w:val="heading 4"/>
    <w:basedOn w:val="Heading3"/>
    <w:next w:val="BodyText"/>
    <w:link w:val="Heading4Char"/>
    <w:qFormat/>
    <w:rsid w:val="0029244E"/>
    <w:pPr>
      <w:numPr>
        <w:ilvl w:val="3"/>
      </w:numPr>
      <w:outlineLvl w:val="3"/>
    </w:pPr>
  </w:style>
  <w:style w:type="paragraph" w:styleId="Heading5">
    <w:name w:val="heading 5"/>
    <w:basedOn w:val="Heading4"/>
    <w:next w:val="Normal"/>
    <w:link w:val="Heading5Char"/>
    <w:qFormat/>
    <w:rsid w:val="0029244E"/>
    <w:pPr>
      <w:numPr>
        <w:ilvl w:val="4"/>
      </w:numPr>
      <w:outlineLvl w:val="4"/>
    </w:pPr>
  </w:style>
  <w:style w:type="paragraph" w:styleId="Heading6">
    <w:name w:val="heading 6"/>
    <w:basedOn w:val="Heading5"/>
    <w:next w:val="Normal"/>
    <w:link w:val="Heading6Char"/>
    <w:qFormat/>
    <w:rsid w:val="0029244E"/>
    <w:pPr>
      <w:numPr>
        <w:ilvl w:val="5"/>
      </w:numPr>
      <w:outlineLvl w:val="5"/>
    </w:pPr>
  </w:style>
  <w:style w:type="paragraph" w:styleId="Heading7">
    <w:name w:val="heading 7"/>
    <w:basedOn w:val="Heading6"/>
    <w:next w:val="Normal"/>
    <w:link w:val="Heading7Char"/>
    <w:qFormat/>
    <w:rsid w:val="0029244E"/>
    <w:pPr>
      <w:numPr>
        <w:ilvl w:val="6"/>
      </w:numPr>
      <w:outlineLvl w:val="6"/>
    </w:pPr>
  </w:style>
  <w:style w:type="paragraph" w:styleId="Heading8">
    <w:name w:val="heading 8"/>
    <w:basedOn w:val="Heading7"/>
    <w:next w:val="Normal"/>
    <w:link w:val="Heading8Char"/>
    <w:qFormat/>
    <w:rsid w:val="0029244E"/>
    <w:pPr>
      <w:numPr>
        <w:ilvl w:val="7"/>
      </w:numPr>
      <w:outlineLvl w:val="7"/>
    </w:pPr>
  </w:style>
  <w:style w:type="paragraph" w:styleId="Heading9">
    <w:name w:val="heading 9"/>
    <w:basedOn w:val="Heading8"/>
    <w:next w:val="Normal"/>
    <w:link w:val="Heading9Char"/>
    <w:qFormat/>
    <w:rsid w:val="00292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637A"/>
    <w:pPr>
      <w:ind w:firstLine="720"/>
    </w:pPr>
    <w:rPr>
      <w:rFonts w:asciiTheme="minorHAnsi" w:hAnsiTheme="minorHAnsi" w:cstheme="minorBidi"/>
      <w:szCs w:val="22"/>
    </w:rPr>
  </w:style>
  <w:style w:type="character" w:customStyle="1" w:styleId="BodyTextChar">
    <w:name w:val="Body Text Char"/>
    <w:link w:val="BodyText"/>
    <w:rsid w:val="00C0637A"/>
    <w:rPr>
      <w:sz w:val="24"/>
    </w:rPr>
  </w:style>
  <w:style w:type="numbering" w:customStyle="1" w:styleId="CATTYList">
    <w:name w:val="CATTY List"/>
    <w:uiPriority w:val="99"/>
    <w:rsid w:val="0029244E"/>
    <w:pPr>
      <w:numPr>
        <w:numId w:val="1"/>
      </w:numPr>
    </w:pPr>
  </w:style>
  <w:style w:type="paragraph" w:styleId="EnvelopeAddress">
    <w:name w:val="envelope address"/>
    <w:basedOn w:val="Normal"/>
    <w:semiHidden/>
    <w:rsid w:val="0029244E"/>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29244E"/>
    <w:pPr>
      <w:tabs>
        <w:tab w:val="center" w:pos="4320"/>
        <w:tab w:val="right" w:pos="8640"/>
      </w:tabs>
    </w:pPr>
  </w:style>
  <w:style w:type="character" w:customStyle="1" w:styleId="FooterChar">
    <w:name w:val="Footer Char"/>
    <w:basedOn w:val="DefaultParagraphFont"/>
    <w:link w:val="Footer"/>
    <w:rsid w:val="0029244E"/>
    <w:rPr>
      <w:rFonts w:ascii="Times New Roman" w:hAnsi="Times New Roman" w:cs="Times New Roman"/>
      <w:sz w:val="24"/>
      <w:szCs w:val="20"/>
    </w:rPr>
  </w:style>
  <w:style w:type="character" w:styleId="FootnoteReference">
    <w:name w:val="footnote reference"/>
    <w:basedOn w:val="DefaultParagraphFont"/>
    <w:semiHidden/>
    <w:rsid w:val="0029244E"/>
    <w:rPr>
      <w:vertAlign w:val="superscript"/>
    </w:rPr>
  </w:style>
  <w:style w:type="paragraph" w:styleId="FootnoteText">
    <w:name w:val="footnote text"/>
    <w:basedOn w:val="Normal"/>
    <w:link w:val="FootnoteTextChar"/>
    <w:semiHidden/>
    <w:rsid w:val="0029244E"/>
  </w:style>
  <w:style w:type="character" w:customStyle="1" w:styleId="FootnoteTextChar">
    <w:name w:val="Footnote Text Char"/>
    <w:basedOn w:val="DefaultParagraphFont"/>
    <w:link w:val="FootnoteText"/>
    <w:semiHidden/>
    <w:rsid w:val="0029244E"/>
    <w:rPr>
      <w:rFonts w:ascii="Times New Roman" w:hAnsi="Times New Roman" w:cs="Times New Roman"/>
      <w:sz w:val="24"/>
      <w:szCs w:val="20"/>
    </w:rPr>
  </w:style>
  <w:style w:type="paragraph" w:styleId="Header">
    <w:name w:val="header"/>
    <w:basedOn w:val="Normal"/>
    <w:link w:val="HeaderChar"/>
    <w:rsid w:val="0029244E"/>
    <w:pPr>
      <w:tabs>
        <w:tab w:val="center" w:pos="4320"/>
        <w:tab w:val="right" w:pos="8640"/>
      </w:tabs>
    </w:pPr>
  </w:style>
  <w:style w:type="character" w:customStyle="1" w:styleId="HeaderChar">
    <w:name w:val="Header Char"/>
    <w:basedOn w:val="DefaultParagraphFont"/>
    <w:link w:val="Header"/>
    <w:rsid w:val="0029244E"/>
    <w:rPr>
      <w:rFonts w:ascii="Times New Roman" w:hAnsi="Times New Roman" w:cs="Times New Roman"/>
      <w:sz w:val="24"/>
      <w:szCs w:val="20"/>
    </w:rPr>
  </w:style>
  <w:style w:type="character" w:customStyle="1" w:styleId="Heading1Char">
    <w:name w:val="Heading 1 Char"/>
    <w:basedOn w:val="DefaultParagraphFont"/>
    <w:link w:val="Heading1"/>
    <w:rsid w:val="0029244E"/>
    <w:rPr>
      <w:rFonts w:ascii="Times New Roman" w:hAnsi="Times New Roman" w:cs="Times New Roman"/>
      <w:b/>
      <w:kern w:val="28"/>
      <w:sz w:val="24"/>
      <w:szCs w:val="20"/>
    </w:rPr>
  </w:style>
  <w:style w:type="character" w:customStyle="1" w:styleId="Heading2Char">
    <w:name w:val="Heading 2 Char"/>
    <w:basedOn w:val="DefaultParagraphFont"/>
    <w:link w:val="Heading2"/>
    <w:rsid w:val="0029244E"/>
    <w:rPr>
      <w:rFonts w:ascii="Times New Roman" w:hAnsi="Times New Roman" w:cs="Times New Roman"/>
      <w:b/>
      <w:sz w:val="24"/>
      <w:szCs w:val="20"/>
    </w:rPr>
  </w:style>
  <w:style w:type="character" w:customStyle="1" w:styleId="Heading3Char">
    <w:name w:val="Heading 3 Char"/>
    <w:basedOn w:val="DefaultParagraphFont"/>
    <w:link w:val="Heading3"/>
    <w:rsid w:val="0029244E"/>
    <w:rPr>
      <w:rFonts w:ascii="Times New Roman" w:hAnsi="Times New Roman" w:cs="Times New Roman"/>
      <w:b/>
      <w:sz w:val="24"/>
      <w:szCs w:val="20"/>
    </w:rPr>
  </w:style>
  <w:style w:type="character" w:customStyle="1" w:styleId="Heading4Char">
    <w:name w:val="Heading 4 Char"/>
    <w:basedOn w:val="DefaultParagraphFont"/>
    <w:link w:val="Heading4"/>
    <w:rsid w:val="0029244E"/>
    <w:rPr>
      <w:rFonts w:ascii="Times New Roman" w:hAnsi="Times New Roman" w:cs="Times New Roman"/>
      <w:b/>
      <w:sz w:val="24"/>
      <w:szCs w:val="20"/>
    </w:rPr>
  </w:style>
  <w:style w:type="character" w:customStyle="1" w:styleId="Heading5Char">
    <w:name w:val="Heading 5 Char"/>
    <w:basedOn w:val="DefaultParagraphFont"/>
    <w:link w:val="Heading5"/>
    <w:rsid w:val="0029244E"/>
    <w:rPr>
      <w:rFonts w:ascii="Times New Roman" w:hAnsi="Times New Roman" w:cs="Times New Roman"/>
      <w:b/>
      <w:sz w:val="24"/>
      <w:szCs w:val="20"/>
    </w:rPr>
  </w:style>
  <w:style w:type="character" w:customStyle="1" w:styleId="Heading6Char">
    <w:name w:val="Heading 6 Char"/>
    <w:basedOn w:val="DefaultParagraphFont"/>
    <w:link w:val="Heading6"/>
    <w:rsid w:val="0029244E"/>
    <w:rPr>
      <w:rFonts w:ascii="Times New Roman" w:hAnsi="Times New Roman" w:cs="Times New Roman"/>
      <w:b/>
      <w:sz w:val="24"/>
      <w:szCs w:val="20"/>
    </w:rPr>
  </w:style>
  <w:style w:type="character" w:customStyle="1" w:styleId="Heading7Char">
    <w:name w:val="Heading 7 Char"/>
    <w:basedOn w:val="DefaultParagraphFont"/>
    <w:link w:val="Heading7"/>
    <w:rsid w:val="0029244E"/>
    <w:rPr>
      <w:rFonts w:ascii="Times New Roman" w:hAnsi="Times New Roman" w:cs="Times New Roman"/>
      <w:b/>
      <w:sz w:val="24"/>
      <w:szCs w:val="20"/>
    </w:rPr>
  </w:style>
  <w:style w:type="character" w:customStyle="1" w:styleId="Heading8Char">
    <w:name w:val="Heading 8 Char"/>
    <w:basedOn w:val="DefaultParagraphFont"/>
    <w:link w:val="Heading8"/>
    <w:rsid w:val="0029244E"/>
    <w:rPr>
      <w:rFonts w:ascii="Times New Roman" w:hAnsi="Times New Roman" w:cs="Times New Roman"/>
      <w:b/>
      <w:sz w:val="24"/>
      <w:szCs w:val="20"/>
    </w:rPr>
  </w:style>
  <w:style w:type="character" w:customStyle="1" w:styleId="Heading9Char">
    <w:name w:val="Heading 9 Char"/>
    <w:basedOn w:val="DefaultParagraphFont"/>
    <w:link w:val="Heading9"/>
    <w:rsid w:val="0029244E"/>
    <w:rPr>
      <w:rFonts w:ascii="Times New Roman" w:hAnsi="Times New Roman" w:cs="Times New Roman"/>
      <w:b/>
      <w:sz w:val="24"/>
      <w:szCs w:val="20"/>
    </w:rPr>
  </w:style>
  <w:style w:type="character" w:styleId="PageNumber">
    <w:name w:val="page number"/>
    <w:basedOn w:val="DefaultParagraphFont"/>
    <w:rsid w:val="0029244E"/>
    <w:rPr>
      <w:rFonts w:ascii="Times New Roman" w:hAnsi="Times New Roman"/>
      <w:sz w:val="24"/>
    </w:rPr>
  </w:style>
  <w:style w:type="paragraph" w:styleId="Quote">
    <w:name w:val="Quote"/>
    <w:basedOn w:val="Normal"/>
    <w:link w:val="QuoteChar"/>
    <w:qFormat/>
    <w:rsid w:val="00C0637A"/>
    <w:pPr>
      <w:spacing w:before="120" w:after="120"/>
      <w:ind w:left="1440" w:right="1440"/>
      <w:jc w:val="both"/>
    </w:pPr>
  </w:style>
  <w:style w:type="character" w:customStyle="1" w:styleId="QuoteChar">
    <w:name w:val="Quote Char"/>
    <w:basedOn w:val="DefaultParagraphFont"/>
    <w:link w:val="Quote"/>
    <w:rsid w:val="00C0637A"/>
    <w:rPr>
      <w:rFonts w:ascii="Times New Roman" w:hAnsi="Times New Roman" w:cs="Times New Roman"/>
      <w:sz w:val="24"/>
      <w:szCs w:val="20"/>
    </w:rPr>
  </w:style>
  <w:style w:type="paragraph" w:customStyle="1" w:styleId="BdSupsBodyText">
    <w:name w:val="BdSupsBodyText"/>
    <w:basedOn w:val="Normal"/>
    <w:link w:val="BdSupsBodyTextChar"/>
    <w:qFormat/>
    <w:rsid w:val="00C263E2"/>
    <w:pPr>
      <w:spacing w:line="480" w:lineRule="exact"/>
      <w:ind w:firstLine="720"/>
    </w:pPr>
    <w:rPr>
      <w:rFonts w:ascii="Arial" w:eastAsia="Calibri" w:hAnsi="Arial"/>
      <w:szCs w:val="24"/>
    </w:rPr>
  </w:style>
  <w:style w:type="character" w:customStyle="1" w:styleId="BdSupsBodyTextChar">
    <w:name w:val="BdSupsBodyText Char"/>
    <w:basedOn w:val="DefaultParagraphFont"/>
    <w:link w:val="BdSupsBodyText"/>
    <w:rsid w:val="00C263E2"/>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D1D5-D3F1-4431-8040-729C9F1E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Chauvet, Eileen (CAT)</dc:creator>
  <cp:lastModifiedBy>Capuyan, Benito</cp:lastModifiedBy>
  <cp:revision>2</cp:revision>
  <dcterms:created xsi:type="dcterms:W3CDTF">2020-12-07T19:03:00Z</dcterms:created>
  <dcterms:modified xsi:type="dcterms:W3CDTF">2020-12-07T19:03:00Z</dcterms:modified>
</cp:coreProperties>
</file>