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30C1" w14:textId="77777777" w:rsidR="001D65C1" w:rsidRPr="00B54CD2" w:rsidRDefault="001D65C1" w:rsidP="001D65C1">
      <w:pPr>
        <w:pStyle w:val="SPECTEXT"/>
        <w:rPr>
          <w:color w:val="00B050"/>
        </w:rPr>
      </w:pPr>
      <w:r w:rsidRPr="00B54CD2">
        <w:rPr>
          <w:color w:val="00B050"/>
        </w:rPr>
        <w:t>DESIGNER NOTE: The specifications below are based on the best available information. Designer should modify the specifications to satisfy project-specific constraints.</w:t>
      </w:r>
    </w:p>
    <w:p w14:paraId="584B2850" w14:textId="77777777" w:rsidR="001D65C1" w:rsidRDefault="001D65C1" w:rsidP="001D65C1">
      <w:pPr>
        <w:pStyle w:val="SPECTEXT"/>
        <w:rPr>
          <w:color w:val="00B050"/>
        </w:rPr>
      </w:pPr>
      <w:r w:rsidRPr="00B54CD2">
        <w:rPr>
          <w:color w:val="00B050"/>
        </w:rPr>
        <w:t>DESIGNER NOTE: Green text corresponds to notes to the designer.</w:t>
      </w:r>
    </w:p>
    <w:p w14:paraId="56567AD9" w14:textId="77777777" w:rsidR="001D65C1" w:rsidRDefault="001D65C1" w:rsidP="001D65C1">
      <w:pPr>
        <w:pStyle w:val="PART"/>
        <w:numPr>
          <w:ilvl w:val="0"/>
          <w:numId w:val="3"/>
        </w:numPr>
      </w:pPr>
      <w:bookmarkStart w:id="0" w:name="part"/>
      <w:r w:rsidRPr="00943007">
        <w:t>general</w:t>
      </w:r>
      <w:bookmarkEnd w:id="0"/>
    </w:p>
    <w:p w14:paraId="4EB3C55A" w14:textId="77777777" w:rsidR="001D65C1" w:rsidRPr="000B3EC9" w:rsidRDefault="001D65C1" w:rsidP="001D65C1">
      <w:pPr>
        <w:pStyle w:val="SPEC1"/>
        <w:numPr>
          <w:ilvl w:val="1"/>
          <w:numId w:val="3"/>
        </w:numPr>
      </w:pPr>
      <w:r w:rsidRPr="00E71985">
        <w:t>SUMMARY</w:t>
      </w:r>
    </w:p>
    <w:p w14:paraId="61A6E476" w14:textId="77777777" w:rsidR="001D65C1" w:rsidRPr="0033721E" w:rsidRDefault="001D65C1" w:rsidP="001D65C1">
      <w:pPr>
        <w:pStyle w:val="SPEC2"/>
        <w:numPr>
          <w:ilvl w:val="2"/>
          <w:numId w:val="3"/>
        </w:numPr>
      </w:pPr>
      <w:r>
        <w:t>This s</w:t>
      </w:r>
      <w:r w:rsidRPr="0033721E">
        <w:t xml:space="preserve">ection </w:t>
      </w:r>
      <w:r>
        <w:t>i</w:t>
      </w:r>
      <w:r w:rsidRPr="0033721E">
        <w:t>ncludes</w:t>
      </w:r>
      <w:r>
        <w:t>:</w:t>
      </w:r>
    </w:p>
    <w:p w14:paraId="5A9769BE" w14:textId="77777777" w:rsidR="001D65C1" w:rsidRPr="00BC3AA1" w:rsidRDefault="001D65C1" w:rsidP="001D65C1">
      <w:pPr>
        <w:pStyle w:val="SPEC3"/>
        <w:numPr>
          <w:ilvl w:val="3"/>
          <w:numId w:val="3"/>
        </w:numPr>
      </w:pPr>
      <w:r>
        <w:t>Porous Asphalt Pavement</w:t>
      </w:r>
    </w:p>
    <w:p w14:paraId="7DC086EB" w14:textId="77777777" w:rsidR="001D65C1" w:rsidRDefault="001D65C1" w:rsidP="001D65C1">
      <w:pPr>
        <w:pStyle w:val="SPEC3"/>
        <w:numPr>
          <w:ilvl w:val="3"/>
          <w:numId w:val="3"/>
        </w:numPr>
      </w:pPr>
      <w:r>
        <w:t>Pavement Base</w:t>
      </w:r>
    </w:p>
    <w:p w14:paraId="5E04F0F6" w14:textId="77777777" w:rsidR="001D65C1" w:rsidRDefault="001D65C1" w:rsidP="001D65C1">
      <w:pPr>
        <w:pStyle w:val="SPEC3"/>
        <w:numPr>
          <w:ilvl w:val="3"/>
          <w:numId w:val="3"/>
        </w:numPr>
      </w:pPr>
      <w:r>
        <w:t>Geotextile for Soil Separation</w:t>
      </w:r>
    </w:p>
    <w:p w14:paraId="7E9CF67D" w14:textId="77777777" w:rsidR="001D65C1" w:rsidRPr="0033721E" w:rsidRDefault="001D65C1" w:rsidP="001D65C1">
      <w:pPr>
        <w:pStyle w:val="SPEC2"/>
        <w:numPr>
          <w:ilvl w:val="2"/>
          <w:numId w:val="3"/>
        </w:numPr>
      </w:pPr>
      <w:r>
        <w:t>Related Sections:</w:t>
      </w:r>
    </w:p>
    <w:p w14:paraId="66A9138B" w14:textId="77777777" w:rsidR="001D65C1" w:rsidRPr="00B54CD2" w:rsidRDefault="001D65C1" w:rsidP="001D65C1">
      <w:pPr>
        <w:pStyle w:val="SPECIndent2"/>
        <w:rPr>
          <w:color w:val="00B050"/>
        </w:rPr>
      </w:pPr>
      <w:r w:rsidRPr="00B54CD2">
        <w:rPr>
          <w:color w:val="00B050"/>
        </w:rPr>
        <w:t>DESIGNER NOTE: The designer should list any additional specification sections which relate to the porous asphalt work (</w:t>
      </w:r>
      <w:r>
        <w:rPr>
          <w:color w:val="00B050"/>
        </w:rPr>
        <w:t xml:space="preserve">i.e., </w:t>
      </w:r>
      <w:r w:rsidRPr="00B54CD2">
        <w:rPr>
          <w:color w:val="00B050"/>
        </w:rPr>
        <w:t>traffic control, temporary erosion control, utilities, earthwork, etc.)</w:t>
      </w:r>
    </w:p>
    <w:p w14:paraId="7F5F9854" w14:textId="77777777" w:rsidR="001D65C1" w:rsidRDefault="001D65C1" w:rsidP="001D65C1">
      <w:pPr>
        <w:pStyle w:val="SPEC1"/>
        <w:numPr>
          <w:ilvl w:val="1"/>
          <w:numId w:val="3"/>
        </w:numPr>
      </w:pPr>
      <w:r>
        <w:t>STANDARDS AND CODES</w:t>
      </w:r>
    </w:p>
    <w:p w14:paraId="1163D0BF" w14:textId="77777777" w:rsidR="001D65C1" w:rsidRDefault="001D65C1" w:rsidP="001D65C1">
      <w:pPr>
        <w:pStyle w:val="SPEC2"/>
        <w:numPr>
          <w:ilvl w:val="2"/>
          <w:numId w:val="3"/>
        </w:numPr>
      </w:pPr>
      <w:r w:rsidRPr="00BE4490">
        <w:rPr>
          <w:rStyle w:val="EmphasisUnderline"/>
        </w:rPr>
        <w:t>Reference Standards</w:t>
      </w:r>
      <w:r w:rsidRPr="00BE4490">
        <w:t>:</w:t>
      </w:r>
      <w:r w:rsidRPr="00934C75">
        <w:rPr>
          <w:szCs w:val="22"/>
        </w:rPr>
        <w:t xml:space="preserve"> </w:t>
      </w:r>
      <w:r w:rsidRPr="00934C75">
        <w:t xml:space="preserve">This section incorporates by reference the latest revisions of the following documents. These references are a part of this section as specified and </w:t>
      </w:r>
      <w:r w:rsidRPr="004C4EB2">
        <w:t>modified</w:t>
      </w:r>
      <w:r>
        <w:t>.</w:t>
      </w:r>
    </w:p>
    <w:tbl>
      <w:tblPr>
        <w:tblW w:w="8172" w:type="dxa"/>
        <w:tblInd w:w="1296" w:type="dxa"/>
        <w:tblLook w:val="04A0" w:firstRow="1" w:lastRow="0" w:firstColumn="1" w:lastColumn="0" w:noHBand="0" w:noVBand="1"/>
      </w:tblPr>
      <w:tblGrid>
        <w:gridCol w:w="2394"/>
        <w:gridCol w:w="5778"/>
      </w:tblGrid>
      <w:tr w:rsidR="001D65C1" w:rsidRPr="004D2909" w14:paraId="5DE14E73" w14:textId="77777777" w:rsidTr="00CE24A9">
        <w:tc>
          <w:tcPr>
            <w:tcW w:w="2394" w:type="dxa"/>
            <w:shd w:val="clear" w:color="auto" w:fill="auto"/>
          </w:tcPr>
          <w:p w14:paraId="3D4BD72D" w14:textId="77777777" w:rsidR="001D65C1" w:rsidRPr="00BE4490" w:rsidRDefault="001D65C1" w:rsidP="00CE24A9">
            <w:pPr>
              <w:pStyle w:val="SPECTEXT"/>
              <w:rPr>
                <w:rStyle w:val="EmphasisUnderline"/>
              </w:rPr>
            </w:pPr>
            <w:r w:rsidRPr="00BE4490">
              <w:rPr>
                <w:rStyle w:val="EmphasisUnderline"/>
              </w:rPr>
              <w:t>Reference</w:t>
            </w:r>
          </w:p>
        </w:tc>
        <w:tc>
          <w:tcPr>
            <w:tcW w:w="5778" w:type="dxa"/>
            <w:shd w:val="clear" w:color="auto" w:fill="auto"/>
          </w:tcPr>
          <w:p w14:paraId="218A9E22" w14:textId="77777777" w:rsidR="001D65C1" w:rsidRPr="00BE4490" w:rsidRDefault="001D65C1" w:rsidP="00CE24A9">
            <w:pPr>
              <w:pStyle w:val="SPECTEXT"/>
              <w:rPr>
                <w:rStyle w:val="EmphasisUnderline"/>
              </w:rPr>
            </w:pPr>
            <w:r w:rsidRPr="00BE4490">
              <w:rPr>
                <w:rStyle w:val="EmphasisUnderline"/>
              </w:rPr>
              <w:t>Title</w:t>
            </w:r>
          </w:p>
        </w:tc>
      </w:tr>
      <w:tr w:rsidR="001D65C1" w:rsidRPr="004D2909" w14:paraId="081C8234" w14:textId="77777777" w:rsidTr="00CE24A9">
        <w:tc>
          <w:tcPr>
            <w:tcW w:w="2394" w:type="dxa"/>
            <w:shd w:val="clear" w:color="auto" w:fill="auto"/>
          </w:tcPr>
          <w:p w14:paraId="278B7249" w14:textId="77777777" w:rsidR="001D65C1" w:rsidRPr="004D2909" w:rsidRDefault="001D65C1" w:rsidP="00CE24A9">
            <w:pPr>
              <w:pStyle w:val="SPECTEXT"/>
              <w:rPr>
                <w:szCs w:val="24"/>
              </w:rPr>
            </w:pPr>
            <w:r>
              <w:rPr>
                <w:szCs w:val="24"/>
              </w:rPr>
              <w:t>Caltrans</w:t>
            </w:r>
          </w:p>
        </w:tc>
        <w:tc>
          <w:tcPr>
            <w:tcW w:w="5778" w:type="dxa"/>
            <w:shd w:val="clear" w:color="auto" w:fill="auto"/>
          </w:tcPr>
          <w:p w14:paraId="2BAC3290" w14:textId="77777777" w:rsidR="001D65C1" w:rsidRPr="004D2909" w:rsidRDefault="001D65C1" w:rsidP="00CE24A9">
            <w:pPr>
              <w:pStyle w:val="SPECTEXT"/>
              <w:rPr>
                <w:szCs w:val="24"/>
              </w:rPr>
            </w:pPr>
            <w:r>
              <w:rPr>
                <w:szCs w:val="24"/>
              </w:rPr>
              <w:t xml:space="preserve">Standard Specifications (published by </w:t>
            </w:r>
            <w:r w:rsidRPr="006B6641">
              <w:rPr>
                <w:szCs w:val="24"/>
              </w:rPr>
              <w:t>S</w:t>
            </w:r>
            <w:r>
              <w:rPr>
                <w:szCs w:val="24"/>
              </w:rPr>
              <w:t>tate of California Business, Transportation, and Housing Agency, Department of Transportation)</w:t>
            </w:r>
          </w:p>
        </w:tc>
      </w:tr>
      <w:tr w:rsidR="001D65C1" w:rsidRPr="004D2909" w14:paraId="4B67E0F3" w14:textId="77777777" w:rsidTr="00CE24A9">
        <w:tc>
          <w:tcPr>
            <w:tcW w:w="2394" w:type="dxa"/>
            <w:shd w:val="clear" w:color="auto" w:fill="auto"/>
          </w:tcPr>
          <w:p w14:paraId="48BBA7BB" w14:textId="77777777" w:rsidR="001D65C1" w:rsidRPr="004D2909" w:rsidRDefault="001D65C1" w:rsidP="00CE24A9">
            <w:pPr>
              <w:pStyle w:val="SPECTEXT"/>
              <w:rPr>
                <w:szCs w:val="24"/>
              </w:rPr>
            </w:pPr>
            <w:r>
              <w:rPr>
                <w:szCs w:val="24"/>
              </w:rPr>
              <w:t>San Francisco DPW</w:t>
            </w:r>
          </w:p>
        </w:tc>
        <w:tc>
          <w:tcPr>
            <w:tcW w:w="5778" w:type="dxa"/>
            <w:shd w:val="clear" w:color="auto" w:fill="auto"/>
          </w:tcPr>
          <w:p w14:paraId="621E9C87" w14:textId="77777777" w:rsidR="001D65C1" w:rsidRPr="004D2909" w:rsidRDefault="001D65C1" w:rsidP="00CE24A9">
            <w:pPr>
              <w:pStyle w:val="SPECTEXT"/>
              <w:rPr>
                <w:szCs w:val="24"/>
              </w:rPr>
            </w:pPr>
            <w:r>
              <w:rPr>
                <w:szCs w:val="24"/>
              </w:rPr>
              <w:t>Engineering Standard Specifications</w:t>
            </w:r>
          </w:p>
        </w:tc>
      </w:tr>
      <w:tr w:rsidR="001D65C1" w:rsidRPr="004D2909" w14:paraId="73C0A6DF" w14:textId="77777777" w:rsidTr="00CE24A9">
        <w:tc>
          <w:tcPr>
            <w:tcW w:w="2394" w:type="dxa"/>
            <w:shd w:val="clear" w:color="auto" w:fill="auto"/>
          </w:tcPr>
          <w:p w14:paraId="6B2DB86B" w14:textId="77777777" w:rsidR="001D65C1" w:rsidRDefault="001D65C1" w:rsidP="00CE24A9">
            <w:pPr>
              <w:pStyle w:val="SPECTEXT"/>
              <w:rPr>
                <w:szCs w:val="24"/>
              </w:rPr>
            </w:pPr>
            <w:r>
              <w:rPr>
                <w:szCs w:val="24"/>
              </w:rPr>
              <w:t>AASHTO</w:t>
            </w:r>
          </w:p>
        </w:tc>
        <w:tc>
          <w:tcPr>
            <w:tcW w:w="5778" w:type="dxa"/>
            <w:shd w:val="clear" w:color="auto" w:fill="auto"/>
          </w:tcPr>
          <w:p w14:paraId="5408E186" w14:textId="77777777" w:rsidR="001D65C1" w:rsidRDefault="001D65C1" w:rsidP="00CE24A9">
            <w:pPr>
              <w:pStyle w:val="SPECTEXT"/>
              <w:rPr>
                <w:szCs w:val="24"/>
              </w:rPr>
            </w:pPr>
            <w:r w:rsidRPr="001E0391">
              <w:rPr>
                <w:szCs w:val="24"/>
              </w:rPr>
              <w:t>Standards of the American Association of State Highway and Transportation</w:t>
            </w:r>
            <w:r>
              <w:rPr>
                <w:szCs w:val="24"/>
              </w:rPr>
              <w:t xml:space="preserve"> </w:t>
            </w:r>
            <w:r w:rsidRPr="001E0391">
              <w:rPr>
                <w:szCs w:val="24"/>
              </w:rPr>
              <w:t>Officials, 1998 or latest edition</w:t>
            </w:r>
          </w:p>
        </w:tc>
      </w:tr>
      <w:tr w:rsidR="001D65C1" w:rsidRPr="004D2909" w14:paraId="6D1410A0" w14:textId="77777777" w:rsidTr="00CE24A9">
        <w:tc>
          <w:tcPr>
            <w:tcW w:w="2394" w:type="dxa"/>
            <w:shd w:val="clear" w:color="auto" w:fill="auto"/>
          </w:tcPr>
          <w:p w14:paraId="40CEA702" w14:textId="77777777" w:rsidR="001D65C1" w:rsidRDefault="001D65C1" w:rsidP="00CE24A9">
            <w:pPr>
              <w:pStyle w:val="SPECTEXT"/>
              <w:rPr>
                <w:szCs w:val="24"/>
              </w:rPr>
            </w:pPr>
            <w:r>
              <w:rPr>
                <w:szCs w:val="24"/>
              </w:rPr>
              <w:t>ASTM</w:t>
            </w:r>
          </w:p>
        </w:tc>
        <w:tc>
          <w:tcPr>
            <w:tcW w:w="5778" w:type="dxa"/>
            <w:shd w:val="clear" w:color="auto" w:fill="auto"/>
          </w:tcPr>
          <w:p w14:paraId="52E9C414" w14:textId="77777777" w:rsidR="001D65C1" w:rsidRDefault="001D65C1" w:rsidP="00CE24A9">
            <w:pPr>
              <w:pStyle w:val="SPECTEXT"/>
              <w:rPr>
                <w:szCs w:val="24"/>
              </w:rPr>
            </w:pPr>
            <w:r w:rsidRPr="001E0391">
              <w:rPr>
                <w:szCs w:val="24"/>
              </w:rPr>
              <w:t>Annual Book of ASTM Standards, American Society for Testing and Materials,</w:t>
            </w:r>
            <w:r>
              <w:rPr>
                <w:szCs w:val="24"/>
              </w:rPr>
              <w:t xml:space="preserve"> </w:t>
            </w:r>
            <w:r w:rsidRPr="001E0391">
              <w:rPr>
                <w:szCs w:val="24"/>
              </w:rPr>
              <w:t>Philadelphia, PA, 1997 or latest edition.</w:t>
            </w:r>
          </w:p>
        </w:tc>
      </w:tr>
      <w:tr w:rsidR="001D65C1" w:rsidRPr="004D2909" w14:paraId="4E152E87" w14:textId="77777777" w:rsidTr="00CE24A9">
        <w:tc>
          <w:tcPr>
            <w:tcW w:w="2394" w:type="dxa"/>
            <w:shd w:val="clear" w:color="auto" w:fill="auto"/>
          </w:tcPr>
          <w:p w14:paraId="35CEB067" w14:textId="77777777" w:rsidR="001D65C1" w:rsidRPr="004D2909" w:rsidRDefault="001D65C1" w:rsidP="00CE24A9">
            <w:pPr>
              <w:pStyle w:val="SPECTEXT"/>
              <w:rPr>
                <w:szCs w:val="24"/>
              </w:rPr>
            </w:pPr>
            <w:r>
              <w:rPr>
                <w:szCs w:val="24"/>
              </w:rPr>
              <w:t>NAPA IS 115</w:t>
            </w:r>
          </w:p>
        </w:tc>
        <w:tc>
          <w:tcPr>
            <w:tcW w:w="5778" w:type="dxa"/>
            <w:shd w:val="clear" w:color="auto" w:fill="auto"/>
          </w:tcPr>
          <w:p w14:paraId="55523702" w14:textId="77777777" w:rsidR="001D65C1" w:rsidRPr="004D2909" w:rsidRDefault="001D65C1" w:rsidP="00CE24A9">
            <w:pPr>
              <w:pStyle w:val="SPECTEXT"/>
              <w:rPr>
                <w:szCs w:val="24"/>
              </w:rPr>
            </w:pPr>
            <w:r>
              <w:rPr>
                <w:szCs w:val="24"/>
              </w:rPr>
              <w:t>Design, Construction, and Maintenance of Open-Graded Asphalt Friction Courses</w:t>
            </w:r>
          </w:p>
        </w:tc>
      </w:tr>
      <w:tr w:rsidR="001D65C1" w:rsidRPr="004D2909" w14:paraId="0FE55E84" w14:textId="77777777" w:rsidTr="00CE24A9">
        <w:tc>
          <w:tcPr>
            <w:tcW w:w="2394" w:type="dxa"/>
            <w:shd w:val="clear" w:color="auto" w:fill="auto"/>
          </w:tcPr>
          <w:p w14:paraId="1DA6D2FA" w14:textId="77777777" w:rsidR="001D65C1" w:rsidRDefault="001D65C1" w:rsidP="00CE24A9">
            <w:pPr>
              <w:pStyle w:val="SPECTEXT"/>
              <w:rPr>
                <w:szCs w:val="24"/>
              </w:rPr>
            </w:pPr>
            <w:r>
              <w:rPr>
                <w:szCs w:val="24"/>
              </w:rPr>
              <w:t>NAPA IS 131</w:t>
            </w:r>
          </w:p>
        </w:tc>
        <w:tc>
          <w:tcPr>
            <w:tcW w:w="5778" w:type="dxa"/>
            <w:shd w:val="clear" w:color="auto" w:fill="auto"/>
          </w:tcPr>
          <w:p w14:paraId="23F883CF" w14:textId="77777777" w:rsidR="001D65C1" w:rsidRDefault="001D65C1" w:rsidP="00CE24A9">
            <w:pPr>
              <w:pStyle w:val="SPECTEXT"/>
              <w:rPr>
                <w:szCs w:val="24"/>
              </w:rPr>
            </w:pPr>
            <w:r>
              <w:rPr>
                <w:szCs w:val="24"/>
              </w:rPr>
              <w:t>Porous Asphalt Pavements for Stormwater Management, Design, Construction, and Maintenance.</w:t>
            </w:r>
          </w:p>
        </w:tc>
      </w:tr>
    </w:tbl>
    <w:p w14:paraId="6D6797E9" w14:textId="77777777" w:rsidR="001D65C1" w:rsidRDefault="001D65C1" w:rsidP="001D65C1">
      <w:pPr>
        <w:pStyle w:val="SPEC3"/>
        <w:numPr>
          <w:ilvl w:val="3"/>
          <w:numId w:val="5"/>
        </w:numPr>
      </w:pPr>
      <w:r w:rsidRPr="00BE4490">
        <w:rPr>
          <w:rStyle w:val="EmphasisUnderline"/>
        </w:rPr>
        <w:t>Caltrans Standard Specifications</w:t>
      </w:r>
      <w:r w:rsidRPr="00BE4490">
        <w:rPr>
          <w:szCs w:val="22"/>
        </w:rPr>
        <w:t>:</w:t>
      </w:r>
      <w:r w:rsidRPr="00584C7A">
        <w:rPr>
          <w:szCs w:val="22"/>
        </w:rPr>
        <w:t xml:space="preserve"> </w:t>
      </w:r>
      <w:r w:rsidRPr="0099279C">
        <w:t xml:space="preserve">Any references to Caltrans Standard Specifications invoke </w:t>
      </w:r>
      <w:r>
        <w:t>technical specifications in Section 39 for material, construction, and quality control and quality assurance</w:t>
      </w:r>
      <w:r w:rsidRPr="0099279C">
        <w:t xml:space="preserve"> </w:t>
      </w:r>
      <w:r w:rsidRPr="0099279C">
        <w:lastRenderedPageBreak/>
        <w:t>only. Caltrans contractual requirements</w:t>
      </w:r>
      <w:r>
        <w:t>, general specifications, and measurement and payment do not apply</w:t>
      </w:r>
      <w:r w:rsidRPr="00934C75">
        <w:t>.</w:t>
      </w:r>
    </w:p>
    <w:p w14:paraId="3A3BBB0F" w14:textId="77777777" w:rsidR="001D65C1" w:rsidRPr="00A23B02" w:rsidRDefault="001D65C1" w:rsidP="00BA0F46">
      <w:pPr>
        <w:pStyle w:val="SPEC3"/>
        <w:keepNext/>
        <w:numPr>
          <w:ilvl w:val="3"/>
          <w:numId w:val="5"/>
        </w:numPr>
      </w:pPr>
      <w:r w:rsidRPr="0050213E">
        <w:t>Caltrans Standard</w:t>
      </w:r>
      <w:r w:rsidRPr="00A23B02">
        <w:t xml:space="preserve"> Specifications Term Equivalencies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8"/>
      </w:tblGrid>
      <w:tr w:rsidR="001D65C1" w:rsidRPr="00515B08" w14:paraId="022268DF" w14:textId="77777777" w:rsidTr="00CE24A9">
        <w:trPr>
          <w:jc w:val="center"/>
        </w:trPr>
        <w:tc>
          <w:tcPr>
            <w:tcW w:w="5495" w:type="dxa"/>
            <w:gridSpan w:val="2"/>
            <w:tcBorders>
              <w:top w:val="single" w:sz="4" w:space="0" w:color="auto"/>
              <w:left w:val="single" w:sz="4" w:space="0" w:color="auto"/>
              <w:bottom w:val="single" w:sz="4" w:space="0" w:color="auto"/>
              <w:right w:val="single" w:sz="4" w:space="0" w:color="auto"/>
            </w:tcBorders>
            <w:vAlign w:val="bottom"/>
          </w:tcPr>
          <w:p w14:paraId="2083FA34" w14:textId="77777777" w:rsidR="001D65C1" w:rsidRPr="00A23B02" w:rsidRDefault="001D65C1" w:rsidP="00CE24A9">
            <w:pPr>
              <w:pStyle w:val="TableHeading"/>
            </w:pPr>
            <w:r w:rsidRPr="00A23B02">
              <w:t>Terms Equivalencies</w:t>
            </w:r>
          </w:p>
        </w:tc>
      </w:tr>
      <w:tr w:rsidR="001D65C1" w:rsidRPr="00515B08" w14:paraId="0B96C6D2" w14:textId="77777777" w:rsidTr="00CE24A9">
        <w:trPr>
          <w:jc w:val="center"/>
        </w:trPr>
        <w:tc>
          <w:tcPr>
            <w:tcW w:w="2747" w:type="dxa"/>
            <w:tcBorders>
              <w:top w:val="single" w:sz="4" w:space="0" w:color="auto"/>
              <w:left w:val="single" w:sz="4" w:space="0" w:color="auto"/>
              <w:bottom w:val="single" w:sz="4" w:space="0" w:color="auto"/>
              <w:right w:val="single" w:sz="4" w:space="0" w:color="auto"/>
            </w:tcBorders>
            <w:vAlign w:val="bottom"/>
          </w:tcPr>
          <w:p w14:paraId="7D1DED87" w14:textId="77777777" w:rsidR="001D65C1" w:rsidRPr="00A23B02" w:rsidRDefault="001D65C1" w:rsidP="00CE24A9">
            <w:pPr>
              <w:pStyle w:val="TableHeading"/>
            </w:pPr>
            <w:r w:rsidRPr="00A23B02">
              <w:t>Term or Claus</w:t>
            </w:r>
            <w:r>
              <w:t>e</w:t>
            </w:r>
            <w:r w:rsidRPr="00A23B02">
              <w:t xml:space="preserve"> in Caltrans Standard Specifications</w:t>
            </w:r>
          </w:p>
        </w:tc>
        <w:tc>
          <w:tcPr>
            <w:tcW w:w="2748" w:type="dxa"/>
            <w:tcBorders>
              <w:top w:val="single" w:sz="4" w:space="0" w:color="auto"/>
              <w:left w:val="single" w:sz="4" w:space="0" w:color="auto"/>
              <w:bottom w:val="single" w:sz="4" w:space="0" w:color="auto"/>
              <w:right w:val="single" w:sz="4" w:space="0" w:color="auto"/>
            </w:tcBorders>
            <w:vAlign w:val="bottom"/>
          </w:tcPr>
          <w:p w14:paraId="002E4EEF" w14:textId="77777777" w:rsidR="001D65C1" w:rsidRPr="00A23B02" w:rsidRDefault="001D65C1" w:rsidP="00CE24A9">
            <w:pPr>
              <w:pStyle w:val="TableHeading"/>
            </w:pPr>
            <w:r w:rsidRPr="00A23B02">
              <w:t>Term or Clause in These Specifications</w:t>
            </w:r>
          </w:p>
        </w:tc>
      </w:tr>
      <w:tr w:rsidR="001D65C1" w:rsidRPr="00515B08" w14:paraId="1CC8BD95" w14:textId="77777777" w:rsidTr="00CE24A9">
        <w:trPr>
          <w:jc w:val="center"/>
        </w:trPr>
        <w:tc>
          <w:tcPr>
            <w:tcW w:w="2747" w:type="dxa"/>
            <w:tcBorders>
              <w:top w:val="single" w:sz="4" w:space="0" w:color="auto"/>
              <w:left w:val="single" w:sz="4" w:space="0" w:color="auto"/>
              <w:bottom w:val="single" w:sz="4" w:space="0" w:color="auto"/>
              <w:right w:val="single" w:sz="4" w:space="0" w:color="auto"/>
            </w:tcBorders>
          </w:tcPr>
          <w:p w14:paraId="32562F46" w14:textId="77777777" w:rsidR="001D65C1" w:rsidRPr="00A23B02" w:rsidRDefault="001D65C1" w:rsidP="00CE24A9">
            <w:pPr>
              <w:pStyle w:val="TableText"/>
              <w:jc w:val="center"/>
            </w:pPr>
            <w:r w:rsidRPr="00A23B02">
              <w:t>The Department</w:t>
            </w:r>
          </w:p>
        </w:tc>
        <w:tc>
          <w:tcPr>
            <w:tcW w:w="2748" w:type="dxa"/>
            <w:tcBorders>
              <w:top w:val="single" w:sz="4" w:space="0" w:color="auto"/>
              <w:left w:val="single" w:sz="4" w:space="0" w:color="auto"/>
              <w:bottom w:val="single" w:sz="4" w:space="0" w:color="auto"/>
              <w:right w:val="single" w:sz="4" w:space="0" w:color="auto"/>
            </w:tcBorders>
          </w:tcPr>
          <w:p w14:paraId="2F604F23" w14:textId="77777777" w:rsidR="001D65C1" w:rsidRPr="00A23B02" w:rsidRDefault="001D65C1" w:rsidP="00CE24A9">
            <w:pPr>
              <w:pStyle w:val="TableText"/>
              <w:jc w:val="center"/>
            </w:pPr>
            <w:r w:rsidRPr="00A23B02">
              <w:t>The Owner</w:t>
            </w:r>
          </w:p>
        </w:tc>
      </w:tr>
      <w:tr w:rsidR="001D65C1" w:rsidRPr="00515B08" w14:paraId="0C11B799" w14:textId="77777777" w:rsidTr="00CE24A9">
        <w:trPr>
          <w:jc w:val="center"/>
        </w:trPr>
        <w:tc>
          <w:tcPr>
            <w:tcW w:w="2747" w:type="dxa"/>
            <w:tcBorders>
              <w:top w:val="single" w:sz="4" w:space="0" w:color="auto"/>
              <w:left w:val="single" w:sz="4" w:space="0" w:color="auto"/>
              <w:bottom w:val="single" w:sz="4" w:space="0" w:color="auto"/>
              <w:right w:val="single" w:sz="4" w:space="0" w:color="auto"/>
            </w:tcBorders>
          </w:tcPr>
          <w:p w14:paraId="5C1DC060" w14:textId="77777777" w:rsidR="001D65C1" w:rsidRPr="00A23B02" w:rsidRDefault="001D65C1" w:rsidP="00CE24A9">
            <w:pPr>
              <w:pStyle w:val="TableText"/>
              <w:jc w:val="center"/>
            </w:pPr>
            <w:r w:rsidRPr="00A23B02">
              <w:t>OGFC</w:t>
            </w:r>
          </w:p>
        </w:tc>
        <w:tc>
          <w:tcPr>
            <w:tcW w:w="2748" w:type="dxa"/>
            <w:tcBorders>
              <w:top w:val="single" w:sz="4" w:space="0" w:color="auto"/>
              <w:left w:val="single" w:sz="4" w:space="0" w:color="auto"/>
              <w:bottom w:val="single" w:sz="4" w:space="0" w:color="auto"/>
              <w:right w:val="single" w:sz="4" w:space="0" w:color="auto"/>
            </w:tcBorders>
          </w:tcPr>
          <w:p w14:paraId="7C6A10C1" w14:textId="77777777" w:rsidR="001D65C1" w:rsidRPr="00A23B02" w:rsidRDefault="001D65C1" w:rsidP="00CE24A9">
            <w:pPr>
              <w:pStyle w:val="TableText"/>
              <w:jc w:val="center"/>
            </w:pPr>
            <w:r w:rsidRPr="00A23B02">
              <w:t>Porous Asphalt</w:t>
            </w:r>
          </w:p>
        </w:tc>
      </w:tr>
    </w:tbl>
    <w:p w14:paraId="1EBD293F" w14:textId="77777777" w:rsidR="001D65C1" w:rsidRDefault="001D65C1" w:rsidP="001D65C1">
      <w:pPr>
        <w:pStyle w:val="SPEC1"/>
        <w:numPr>
          <w:ilvl w:val="1"/>
          <w:numId w:val="3"/>
        </w:numPr>
        <w:spacing w:before="240"/>
      </w:pPr>
      <w:r>
        <w:t>REFERENCES</w:t>
      </w:r>
    </w:p>
    <w:p w14:paraId="59E4265C" w14:textId="77777777" w:rsidR="001D65C1" w:rsidRPr="00B54CD2" w:rsidRDefault="001D65C1" w:rsidP="001D65C1">
      <w:pPr>
        <w:pStyle w:val="SPECIndent"/>
        <w:rPr>
          <w:color w:val="00B050"/>
        </w:rPr>
      </w:pPr>
      <w:r w:rsidRPr="00B54CD2">
        <w:rPr>
          <w:color w:val="00B050"/>
        </w:rPr>
        <w:t>DESIGNER NOTE: Designer to provide references to related industry manuals and guidance and all project specific documents (e.g., geotechnical report).</w:t>
      </w:r>
    </w:p>
    <w:p w14:paraId="20A07469" w14:textId="77777777" w:rsidR="001D65C1" w:rsidRPr="00584C7A" w:rsidRDefault="001D65C1" w:rsidP="001D65C1">
      <w:pPr>
        <w:pStyle w:val="SPEC1"/>
        <w:numPr>
          <w:ilvl w:val="1"/>
          <w:numId w:val="3"/>
        </w:numPr>
      </w:pPr>
      <w:r w:rsidRPr="00584C7A">
        <w:t>SUBMITTALS</w:t>
      </w:r>
    </w:p>
    <w:p w14:paraId="469EA394" w14:textId="77777777" w:rsidR="001D65C1" w:rsidRPr="00584C7A" w:rsidRDefault="001D65C1" w:rsidP="001D65C1">
      <w:pPr>
        <w:pStyle w:val="SPEC2"/>
        <w:numPr>
          <w:ilvl w:val="2"/>
          <w:numId w:val="3"/>
        </w:numPr>
      </w:pPr>
      <w:r w:rsidRPr="00BE4490">
        <w:rPr>
          <w:rStyle w:val="EmphasisUnderline"/>
        </w:rPr>
        <w:t>Bid Submittals</w:t>
      </w:r>
      <w:r w:rsidRPr="00584C7A">
        <w:t xml:space="preserve">: The Contractor shall submit to the </w:t>
      </w:r>
      <w:r>
        <w:t>Owner</w:t>
      </w:r>
      <w:r w:rsidRPr="00584C7A">
        <w:t xml:space="preserve"> the following as part of the bid proposal:</w:t>
      </w:r>
    </w:p>
    <w:p w14:paraId="4EF650E3" w14:textId="77777777" w:rsidR="001D65C1" w:rsidRDefault="001D65C1" w:rsidP="001D65C1">
      <w:pPr>
        <w:pStyle w:val="SPEC3"/>
        <w:numPr>
          <w:ilvl w:val="3"/>
          <w:numId w:val="3"/>
        </w:numPr>
      </w:pPr>
      <w:r w:rsidRPr="00584C7A">
        <w:t xml:space="preserve">Project experience </w:t>
      </w:r>
      <w:r>
        <w:t xml:space="preserve">and personnel qualification </w:t>
      </w:r>
      <w:r w:rsidRPr="00584C7A">
        <w:t xml:space="preserve">examples as specified in </w:t>
      </w:r>
      <w:r>
        <w:t>Section </w:t>
      </w:r>
      <w:r w:rsidRPr="00584C7A">
        <w:t>1.05.</w:t>
      </w:r>
      <w:r w:rsidRPr="00A23B02">
        <w:t>B</w:t>
      </w:r>
      <w:r w:rsidRPr="00584C7A">
        <w:t xml:space="preserve"> for the </w:t>
      </w:r>
      <w:r w:rsidRPr="00A23B02">
        <w:t>contractor and personnel</w:t>
      </w:r>
      <w:r w:rsidRPr="00584C7A">
        <w:t xml:space="preserve"> assigned to this project.</w:t>
      </w:r>
    </w:p>
    <w:p w14:paraId="5A89F26C" w14:textId="77777777" w:rsidR="001D65C1" w:rsidRDefault="001D65C1" w:rsidP="001D65C1">
      <w:pPr>
        <w:pStyle w:val="SPECIndent2"/>
        <w:rPr>
          <w:color w:val="00B050"/>
        </w:rPr>
      </w:pPr>
      <w:r w:rsidRPr="00B54CD2">
        <w:rPr>
          <w:color w:val="00B050"/>
        </w:rPr>
        <w:t>DESIGNER NOTE: The designer should incorporate by reference these requirements in Division 00 of the Specifications.</w:t>
      </w:r>
    </w:p>
    <w:p w14:paraId="792610E4" w14:textId="77777777" w:rsidR="001D65C1" w:rsidRPr="00BE4490" w:rsidRDefault="001D65C1" w:rsidP="001D65C1">
      <w:pPr>
        <w:pStyle w:val="SPEC2"/>
        <w:numPr>
          <w:ilvl w:val="2"/>
          <w:numId w:val="3"/>
        </w:numPr>
      </w:pPr>
      <w:r w:rsidRPr="00BE4490">
        <w:rPr>
          <w:rStyle w:val="EmphasisUnderline"/>
        </w:rPr>
        <w:t>Pre-Installation Submittals</w:t>
      </w:r>
      <w:r w:rsidRPr="00BE4490">
        <w:t>:</w:t>
      </w:r>
      <w:r w:rsidRPr="00584C7A">
        <w:t xml:space="preserve"> Submittals shall conform to the requirements of Caltrans Standard Specifications including</w:t>
      </w:r>
      <w:r w:rsidRPr="002B5763">
        <w:t>:</w:t>
      </w:r>
    </w:p>
    <w:p w14:paraId="4462FE1A" w14:textId="77777777" w:rsidR="001D65C1" w:rsidRPr="00A23B02" w:rsidRDefault="001D65C1" w:rsidP="001D65C1">
      <w:pPr>
        <w:pStyle w:val="SPEC3"/>
        <w:numPr>
          <w:ilvl w:val="3"/>
          <w:numId w:val="3"/>
        </w:numPr>
      </w:pPr>
      <w:r w:rsidRPr="001A42EF">
        <w:t xml:space="preserve">Proposed job mix formula </w:t>
      </w:r>
      <w:r w:rsidRPr="00A23B02">
        <w:t xml:space="preserve">per </w:t>
      </w:r>
      <w:r>
        <w:t>Section </w:t>
      </w:r>
      <w:r w:rsidRPr="001A42EF">
        <w:t>1.05.</w:t>
      </w:r>
      <w:r>
        <w:t>B</w:t>
      </w:r>
      <w:r w:rsidRPr="001A42EF">
        <w:t xml:space="preserve"> of this Specification</w:t>
      </w:r>
      <w:r w:rsidRPr="00A23B02">
        <w:t>.</w:t>
      </w:r>
    </w:p>
    <w:p w14:paraId="24BB0E47" w14:textId="77777777" w:rsidR="001D65C1" w:rsidRDefault="001D65C1" w:rsidP="001D65C1">
      <w:pPr>
        <w:pStyle w:val="SPEC3"/>
        <w:numPr>
          <w:ilvl w:val="3"/>
          <w:numId w:val="3"/>
        </w:numPr>
      </w:pPr>
      <w:r w:rsidRPr="00A23B02">
        <w:t xml:space="preserve">Proposed QC plan per </w:t>
      </w:r>
      <w:r>
        <w:t>Section 39</w:t>
      </w:r>
      <w:r>
        <w:noBreakHyphen/>
      </w:r>
      <w:r w:rsidRPr="00A23B02">
        <w:t>1.04A</w:t>
      </w:r>
      <w:r w:rsidRPr="001A42EF">
        <w:t xml:space="preserve"> (General R</w:t>
      </w:r>
      <w:r w:rsidRPr="00A23B02">
        <w:t xml:space="preserve">equirements for </w:t>
      </w:r>
      <w:r w:rsidRPr="001A42EF">
        <w:t>C</w:t>
      </w:r>
      <w:r w:rsidRPr="00A23B02">
        <w:t xml:space="preserve">ontractor </w:t>
      </w:r>
      <w:r w:rsidRPr="001A42EF">
        <w:t>Quality C</w:t>
      </w:r>
      <w:r w:rsidRPr="00A23B02">
        <w:t xml:space="preserve">ontrol) and </w:t>
      </w:r>
      <w:r>
        <w:t>Section 39</w:t>
      </w:r>
      <w:r>
        <w:noBreakHyphen/>
      </w:r>
      <w:r w:rsidRPr="00A23B02">
        <w:t>2.02A (Quality control plan requirements for the “Standard Construction Process”).</w:t>
      </w:r>
      <w:r w:rsidRPr="001A42EF">
        <w:t xml:space="preserve"> The QC Plan shall satisfactorily test the porous asphalt for compliance with </w:t>
      </w:r>
      <w:r>
        <w:t>Section 39</w:t>
      </w:r>
      <w:r>
        <w:noBreakHyphen/>
      </w:r>
      <w:r w:rsidRPr="001A42EF">
        <w:t>2.02B (Quality Control for Standard Construction Process) of the Caltrans Standard Specifications, with the following modifications and additions:</w:t>
      </w:r>
    </w:p>
    <w:p w14:paraId="371F83AC" w14:textId="77777777" w:rsidR="001D65C1" w:rsidRDefault="001D65C1" w:rsidP="001D65C1">
      <w:pPr>
        <w:pStyle w:val="SPEC4"/>
        <w:numPr>
          <w:ilvl w:val="4"/>
          <w:numId w:val="3"/>
        </w:numPr>
      </w:pPr>
      <w:r>
        <w:t>Aggregate durability index shall be tested in accordance with Caltrans Test Method 229 at least one time per each 750 tons of porous asphalt.</w:t>
      </w:r>
    </w:p>
    <w:p w14:paraId="4F0B3B12" w14:textId="77777777" w:rsidR="001D65C1" w:rsidRDefault="001D65C1" w:rsidP="001D65C1">
      <w:pPr>
        <w:pStyle w:val="SPEC4"/>
        <w:numPr>
          <w:ilvl w:val="4"/>
          <w:numId w:val="3"/>
        </w:numPr>
      </w:pPr>
      <w:r>
        <w:t>Aggregate cleanliness value shall be tested in accordance with Caltrans Test Method 227</w:t>
      </w:r>
      <w:r w:rsidRPr="008E11B5">
        <w:t xml:space="preserve"> </w:t>
      </w:r>
      <w:r>
        <w:t>at least one time per each 750 tons of porous asphalt.</w:t>
      </w:r>
    </w:p>
    <w:p w14:paraId="7CE5F65B" w14:textId="77777777" w:rsidR="001D65C1" w:rsidRPr="00A23B02" w:rsidRDefault="001D65C1" w:rsidP="001D65C1">
      <w:pPr>
        <w:pStyle w:val="SPEC4"/>
        <w:numPr>
          <w:ilvl w:val="4"/>
          <w:numId w:val="3"/>
        </w:numPr>
      </w:pPr>
      <w:r w:rsidRPr="00A23B02">
        <w:t xml:space="preserve">Air voids shall be tested for by determining the bulk specific </w:t>
      </w:r>
      <w:r>
        <w:t>gravity in accordance with ASTM D6752 or AASHTO </w:t>
      </w:r>
      <w:r w:rsidRPr="00A23B02">
        <w:t>T275, the maximum theoretic</w:t>
      </w:r>
      <w:r>
        <w:t>al specific gravity with AASHTO </w:t>
      </w:r>
      <w:r w:rsidRPr="00A23B02">
        <w:t>T</w:t>
      </w:r>
      <w:r>
        <w:t>209, and the voids by test ASTM </w:t>
      </w:r>
      <w:r w:rsidRPr="00A23B02">
        <w:t>D3203.</w:t>
      </w:r>
    </w:p>
    <w:p w14:paraId="1D28F294" w14:textId="77777777" w:rsidR="001D65C1" w:rsidRPr="00A23B02" w:rsidRDefault="001D65C1" w:rsidP="001D65C1">
      <w:pPr>
        <w:pStyle w:val="SPEC4"/>
        <w:numPr>
          <w:ilvl w:val="4"/>
          <w:numId w:val="3"/>
        </w:numPr>
      </w:pPr>
      <w:proofErr w:type="spellStart"/>
      <w:r w:rsidRPr="00A23B02">
        <w:lastRenderedPageBreak/>
        <w:t>Draindown</w:t>
      </w:r>
      <w:proofErr w:type="spellEnd"/>
      <w:r w:rsidRPr="00A23B02">
        <w:t xml:space="preserve"> shall be</w:t>
      </w:r>
      <w:r>
        <w:t xml:space="preserve"> tested in accordance with ASTM </w:t>
      </w:r>
      <w:r w:rsidRPr="00A23B02">
        <w:t>D6390.</w:t>
      </w:r>
    </w:p>
    <w:p w14:paraId="46EED26F" w14:textId="77777777" w:rsidR="001D65C1" w:rsidRPr="00A23B02" w:rsidRDefault="001D65C1" w:rsidP="001D65C1">
      <w:pPr>
        <w:pStyle w:val="SPEC4"/>
        <w:numPr>
          <w:ilvl w:val="4"/>
          <w:numId w:val="3"/>
        </w:numPr>
      </w:pPr>
      <w:r w:rsidRPr="00A23B02">
        <w:t>Retained tensile strength shall be t</w:t>
      </w:r>
      <w:r>
        <w:t>ested in accordance with AASHTO </w:t>
      </w:r>
      <w:r w:rsidRPr="00A23B02">
        <w:t>283.</w:t>
      </w:r>
    </w:p>
    <w:p w14:paraId="530BCEC7" w14:textId="77777777" w:rsidR="001D65C1" w:rsidRPr="00A23B02" w:rsidRDefault="001D65C1" w:rsidP="001D65C1">
      <w:pPr>
        <w:pStyle w:val="SPEC4"/>
        <w:numPr>
          <w:ilvl w:val="4"/>
          <w:numId w:val="3"/>
        </w:numPr>
      </w:pPr>
      <w:r w:rsidRPr="00A23B02">
        <w:t>Three (3) surface infiltration tests per ASTM</w:t>
      </w:r>
      <w:r>
        <w:t> </w:t>
      </w:r>
      <w:r w:rsidRPr="00A23B02">
        <w:t xml:space="preserve">C1701 </w:t>
      </w:r>
      <w:r>
        <w:t>shall be conducted per 10,000 square feet of porous asphalt, in place and one (1) additional test per 5,000 square feet of porous asphalt, or fraction thereof, in place</w:t>
      </w:r>
      <w:r w:rsidRPr="00A23B02">
        <w:t>. Document and record the results of each field infiltration test with a designated test number. Include infiltration rate, date pavement was placed, date test was taken, and location on the site (via stationing or other means) where test was performed in each test record. If minimum required field infiltration rate is not achieved at any location as defined in this Section, re-test for field infiltration rate at a new location for each failed field infiltration test. Coordinate location with Owner’s Representative.</w:t>
      </w:r>
    </w:p>
    <w:p w14:paraId="07089C10" w14:textId="77777777" w:rsidR="001D65C1" w:rsidRPr="00584C7A" w:rsidRDefault="001D65C1" w:rsidP="001D65C1">
      <w:pPr>
        <w:pStyle w:val="SPECIndent3"/>
      </w:pPr>
      <w:r w:rsidRPr="001A42EF">
        <w:t>The QC plan shall be consistent with the Caltrans Quality Control Quality Assurance Manual for Asphalt Concrete Production and Placement (latest version).</w:t>
      </w:r>
    </w:p>
    <w:p w14:paraId="7057B746" w14:textId="77777777" w:rsidR="001D65C1" w:rsidRPr="00584C7A" w:rsidRDefault="001D65C1" w:rsidP="001D65C1">
      <w:pPr>
        <w:pStyle w:val="SPECIndent2"/>
      </w:pPr>
      <w:r w:rsidRPr="00584C7A">
        <w:t>In addition to the Caltrans submittal requirements, the Contractor shall submit the following:</w:t>
      </w:r>
    </w:p>
    <w:p w14:paraId="701EF1BC" w14:textId="77777777" w:rsidR="001D65C1" w:rsidRPr="00520CA2" w:rsidRDefault="001D65C1" w:rsidP="001D65C1">
      <w:pPr>
        <w:pStyle w:val="SPEC3"/>
        <w:numPr>
          <w:ilvl w:val="3"/>
          <w:numId w:val="3"/>
        </w:numPr>
      </w:pPr>
      <w:r w:rsidRPr="00C21CD5">
        <w:t>Source certificates</w:t>
      </w:r>
      <w:r>
        <w:t xml:space="preserve">, gradations, R-values, LA abrasion, and cleanness values of aggregates </w:t>
      </w:r>
      <w:r w:rsidRPr="00520CA2">
        <w:t xml:space="preserve">for base and reservoir course materials performed within </w:t>
      </w:r>
      <w:r>
        <w:t>one (1) month</w:t>
      </w:r>
      <w:r w:rsidRPr="00520CA2">
        <w:t xml:space="preserve"> of product delivery to site.</w:t>
      </w:r>
    </w:p>
    <w:p w14:paraId="6E2CBC7E" w14:textId="77777777" w:rsidR="001D65C1" w:rsidRDefault="001D65C1" w:rsidP="001D65C1">
      <w:pPr>
        <w:pStyle w:val="SPEC3"/>
        <w:numPr>
          <w:ilvl w:val="3"/>
          <w:numId w:val="3"/>
        </w:numPr>
      </w:pPr>
      <w:r w:rsidRPr="00520CA2">
        <w:t>Product data sheets for geotextil</w:t>
      </w:r>
      <w:r w:rsidRPr="00C21CD5">
        <w:t>es.</w:t>
      </w:r>
    </w:p>
    <w:p w14:paraId="45483013" w14:textId="77777777" w:rsidR="001D65C1" w:rsidRPr="00A23B02" w:rsidRDefault="001D65C1" w:rsidP="001D65C1">
      <w:pPr>
        <w:pStyle w:val="SPEC3"/>
        <w:numPr>
          <w:ilvl w:val="3"/>
          <w:numId w:val="3"/>
        </w:numPr>
      </w:pPr>
      <w:r w:rsidRPr="00A23B02">
        <w:t xml:space="preserve">Testing agency qualifications as specified in </w:t>
      </w:r>
      <w:r>
        <w:t>Section </w:t>
      </w:r>
      <w:r w:rsidRPr="00A23B02">
        <w:t>1.05.</w:t>
      </w:r>
      <w:r>
        <w:t>A</w:t>
      </w:r>
      <w:r w:rsidRPr="00A23B02">
        <w:t>.</w:t>
      </w:r>
    </w:p>
    <w:p w14:paraId="7D691DF1" w14:textId="34EB39B2" w:rsidR="001D65C1" w:rsidRPr="00C21CD5" w:rsidRDefault="000013F7" w:rsidP="001D65C1">
      <w:pPr>
        <w:pStyle w:val="SPEC1"/>
        <w:numPr>
          <w:ilvl w:val="1"/>
          <w:numId w:val="3"/>
        </w:numPr>
      </w:pPr>
      <w:r w:rsidRPr="00C21CD5">
        <w:rPr>
          <w:caps w:val="0"/>
        </w:rPr>
        <w:t>QUALITY CONTROL AND QUALITY ASSURANCE</w:t>
      </w:r>
    </w:p>
    <w:p w14:paraId="44AEACF9" w14:textId="77777777" w:rsidR="001D65C1" w:rsidRDefault="001D65C1" w:rsidP="001D65C1">
      <w:pPr>
        <w:pStyle w:val="SPEC2"/>
        <w:numPr>
          <w:ilvl w:val="2"/>
          <w:numId w:val="3"/>
        </w:numPr>
      </w:pPr>
      <w:r w:rsidRPr="00BE4490">
        <w:rPr>
          <w:rStyle w:val="EmphasisUnderline"/>
        </w:rPr>
        <w:t>General</w:t>
      </w:r>
      <w:r w:rsidRPr="00BE4490">
        <w:t>:</w:t>
      </w:r>
      <w:r w:rsidRPr="00584C7A">
        <w:t xml:space="preserve"> Test and inspect asphalt materials and operations as Work progresses as described in this section. Failure to detect defective Work or</w:t>
      </w:r>
      <w:r w:rsidRPr="002B5763">
        <w:t xml:space="preserve"> materials at any time will not prevent rejection if a defect is discovered later, nor shall it constitute final acceptance.</w:t>
      </w:r>
    </w:p>
    <w:p w14:paraId="7C2EA133" w14:textId="77777777" w:rsidR="001D65C1" w:rsidRPr="00B54CD2" w:rsidRDefault="001D65C1" w:rsidP="001D65C1">
      <w:pPr>
        <w:pStyle w:val="SPECIndent2"/>
        <w:rPr>
          <w:color w:val="00B050"/>
        </w:rPr>
      </w:pPr>
      <w:r w:rsidRPr="00B54CD2">
        <w:rPr>
          <w:color w:val="00B050"/>
        </w:rPr>
        <w:t>DESIGNER NOTE: This specification does not include a test panel/mockup due to the difficulty of installation and because physical properties of the material are known from the plant test. Consider whether project design objectives warrant the cost of a test panel/mockup.</w:t>
      </w:r>
    </w:p>
    <w:p w14:paraId="23EB0C14" w14:textId="77777777" w:rsidR="001D65C1" w:rsidRDefault="001D65C1" w:rsidP="001D65C1">
      <w:pPr>
        <w:pStyle w:val="SPEC3"/>
        <w:numPr>
          <w:ilvl w:val="3"/>
          <w:numId w:val="3"/>
        </w:numPr>
      </w:pPr>
      <w:r w:rsidRPr="00A23B02">
        <w:t>Contractor and Personnel Qualifications</w:t>
      </w:r>
    </w:p>
    <w:p w14:paraId="0B3B1A22" w14:textId="77777777" w:rsidR="001D65C1" w:rsidRPr="00B54CD2" w:rsidRDefault="001D65C1" w:rsidP="001D65C1">
      <w:pPr>
        <w:pStyle w:val="SPECIndent3"/>
        <w:rPr>
          <w:color w:val="00B050"/>
        </w:rPr>
      </w:pPr>
      <w:r w:rsidRPr="00B54CD2">
        <w:rPr>
          <w:color w:val="00B050"/>
        </w:rPr>
        <w:t>DESIGNER NOTE: The designer should adjust the required qualifications for the contractor and personnel based on the availability of qualified bidders and project size, complexity, and risk.</w:t>
      </w:r>
    </w:p>
    <w:p w14:paraId="75664D09" w14:textId="77777777" w:rsidR="001D65C1" w:rsidRPr="00584C7A" w:rsidRDefault="001D65C1" w:rsidP="001D65C1">
      <w:pPr>
        <w:pStyle w:val="SPEC4"/>
        <w:numPr>
          <w:ilvl w:val="4"/>
          <w:numId w:val="3"/>
        </w:numPr>
      </w:pPr>
      <w:r w:rsidRPr="00BE4490">
        <w:rPr>
          <w:rStyle w:val="EmphasisUnderline"/>
        </w:rPr>
        <w:lastRenderedPageBreak/>
        <w:t>Contractor qualification</w:t>
      </w:r>
      <w:r w:rsidRPr="00BE4490">
        <w:t>:</w:t>
      </w:r>
      <w:r w:rsidRPr="00584C7A">
        <w:t xml:space="preserve"> </w:t>
      </w:r>
      <w:r w:rsidRPr="00A23B02">
        <w:t xml:space="preserve">The Contractor shall provide </w:t>
      </w:r>
      <w:r w:rsidRPr="00584C7A">
        <w:t>documentation showing one of the following</w:t>
      </w:r>
      <w:r w:rsidRPr="00A23B02">
        <w:t xml:space="preserve"> for the general contractor or paving subcontractor</w:t>
      </w:r>
      <w:r w:rsidRPr="00584C7A">
        <w:t>:</w:t>
      </w:r>
    </w:p>
    <w:p w14:paraId="70A6456F" w14:textId="77777777" w:rsidR="001D65C1" w:rsidRDefault="001D65C1" w:rsidP="001D65C1">
      <w:pPr>
        <w:pStyle w:val="SPEC5"/>
        <w:numPr>
          <w:ilvl w:val="5"/>
          <w:numId w:val="3"/>
        </w:numPr>
      </w:pPr>
      <w:r w:rsidRPr="00584C7A">
        <w:t>One (1) example owner-accepted porous asphalt project</w:t>
      </w:r>
      <w:r w:rsidRPr="00A23B02">
        <w:t>, similar (or greater) in extent to the proposed project,</w:t>
      </w:r>
      <w:r w:rsidRPr="00584C7A">
        <w:t xml:space="preserve"> completed in the last </w:t>
      </w:r>
      <w:r w:rsidRPr="00A23B02">
        <w:t>one</w:t>
      </w:r>
      <w:r w:rsidRPr="00584C7A">
        <w:t xml:space="preserve"> (</w:t>
      </w:r>
      <w:r w:rsidRPr="00A23B02">
        <w:t>1</w:t>
      </w:r>
      <w:r>
        <w:t>) </w:t>
      </w:r>
      <w:r w:rsidRPr="00A23B02">
        <w:t>year</w:t>
      </w:r>
      <w:r w:rsidRPr="00584C7A">
        <w:t xml:space="preserve"> with reference.</w:t>
      </w:r>
    </w:p>
    <w:p w14:paraId="35C29435" w14:textId="77777777" w:rsidR="001D65C1" w:rsidRPr="00B07286" w:rsidRDefault="001D65C1" w:rsidP="001D65C1">
      <w:pPr>
        <w:pStyle w:val="SPECIndent5"/>
        <w:rPr>
          <w:rStyle w:val="EmphasisUnderline"/>
        </w:rPr>
      </w:pPr>
      <w:r w:rsidRPr="00B07286">
        <w:rPr>
          <w:rStyle w:val="EmphasisUnderline"/>
        </w:rPr>
        <w:t>OR</w:t>
      </w:r>
    </w:p>
    <w:p w14:paraId="04BC89DA" w14:textId="77777777" w:rsidR="001D65C1" w:rsidRDefault="001D65C1" w:rsidP="001D65C1">
      <w:pPr>
        <w:pStyle w:val="SPEC5"/>
        <w:numPr>
          <w:ilvl w:val="5"/>
          <w:numId w:val="3"/>
        </w:numPr>
      </w:pPr>
      <w:r w:rsidRPr="00584C7A">
        <w:t xml:space="preserve">Three </w:t>
      </w:r>
      <w:r w:rsidRPr="00A23B02">
        <w:t xml:space="preserve">(3) </w:t>
      </w:r>
      <w:r w:rsidRPr="00584C7A">
        <w:t xml:space="preserve">example owner-accepted open graded friction course projects completed in the last </w:t>
      </w:r>
      <w:r w:rsidRPr="00A23B02">
        <w:t>one</w:t>
      </w:r>
      <w:r w:rsidRPr="00584C7A">
        <w:t xml:space="preserve"> (</w:t>
      </w:r>
      <w:r w:rsidRPr="00A23B02">
        <w:t>1</w:t>
      </w:r>
      <w:r>
        <w:t>) </w:t>
      </w:r>
      <w:r w:rsidRPr="00584C7A">
        <w:t>year with references.</w:t>
      </w:r>
    </w:p>
    <w:p w14:paraId="50012671" w14:textId="77777777" w:rsidR="001D65C1" w:rsidRPr="00A23B02" w:rsidRDefault="001D65C1" w:rsidP="001D65C1">
      <w:pPr>
        <w:pStyle w:val="SPECIndent4"/>
      </w:pPr>
      <w:r w:rsidRPr="00584C7A">
        <w:t>Documentation shall include name and address of project, and contact information for project owner.</w:t>
      </w:r>
    </w:p>
    <w:p w14:paraId="572CAA5F" w14:textId="77777777" w:rsidR="001D65C1" w:rsidRDefault="001D65C1" w:rsidP="001D65C1">
      <w:pPr>
        <w:pStyle w:val="SPEC4"/>
        <w:numPr>
          <w:ilvl w:val="4"/>
          <w:numId w:val="3"/>
        </w:numPr>
      </w:pPr>
      <w:r w:rsidRPr="00BE4490">
        <w:rPr>
          <w:rStyle w:val="EmphasisUnderline"/>
        </w:rPr>
        <w:t>Personnel qualification</w:t>
      </w:r>
      <w:r w:rsidRPr="00B23A76">
        <w:t>:</w:t>
      </w:r>
      <w:r w:rsidRPr="00A23B02">
        <w:t xml:space="preserve"> The Contractor or paving subcontractor shall provide a qualified foreman with experience installing porous asphalt and documentation showing with following:</w:t>
      </w:r>
    </w:p>
    <w:p w14:paraId="6790D8E0" w14:textId="77777777" w:rsidR="001D65C1" w:rsidRDefault="001D65C1" w:rsidP="001D65C1">
      <w:pPr>
        <w:pStyle w:val="SPEC5"/>
        <w:numPr>
          <w:ilvl w:val="5"/>
          <w:numId w:val="3"/>
        </w:numPr>
      </w:pPr>
      <w:r w:rsidRPr="00A23B02">
        <w:t>One (1) example owner-accepted porous asphalt project, similar (or greater) in extent to the proposed project, completed in the last one (1) year with reference.</w:t>
      </w:r>
    </w:p>
    <w:p w14:paraId="3ADCE576" w14:textId="77777777" w:rsidR="001D65C1" w:rsidRPr="00A23B02" w:rsidRDefault="001D65C1" w:rsidP="001D65C1">
      <w:pPr>
        <w:pStyle w:val="SPECIndent4"/>
      </w:pPr>
      <w:r w:rsidRPr="00A23B02">
        <w:t>Documentation shall include name and address of project, and contact information for project owner.</w:t>
      </w:r>
    </w:p>
    <w:p w14:paraId="475BC2C6" w14:textId="77777777" w:rsidR="001D65C1" w:rsidRDefault="001D65C1" w:rsidP="001D65C1">
      <w:pPr>
        <w:pStyle w:val="SPECIndent4"/>
      </w:pPr>
      <w:r w:rsidRPr="00A23B02">
        <w:t xml:space="preserve">The qualified foreman shall be onsite </w:t>
      </w:r>
      <w:r>
        <w:t>for the</w:t>
      </w:r>
      <w:r w:rsidRPr="00A23B02">
        <w:t xml:space="preserve"> duration of asphalt work including preparation, placement, testing, and completion.</w:t>
      </w:r>
    </w:p>
    <w:p w14:paraId="264BF6C7" w14:textId="77777777" w:rsidR="001D65C1" w:rsidRPr="00A23B02" w:rsidRDefault="001D65C1" w:rsidP="001D65C1">
      <w:pPr>
        <w:pStyle w:val="SPEC4"/>
        <w:numPr>
          <w:ilvl w:val="4"/>
          <w:numId w:val="3"/>
        </w:numPr>
      </w:pPr>
      <w:r w:rsidRPr="00BE4490">
        <w:rPr>
          <w:rStyle w:val="EmphasisUnderline"/>
        </w:rPr>
        <w:t>Testing agency qualification</w:t>
      </w:r>
      <w:r w:rsidRPr="00B23A76">
        <w:t>: A</w:t>
      </w:r>
      <w:r w:rsidRPr="00A23B02">
        <w:t xml:space="preserve">gencies that perform testing on porous asphalt materials shall meet the requirements of Caltrans Standard Specification </w:t>
      </w:r>
      <w:r>
        <w:t>Section 39</w:t>
      </w:r>
      <w:r>
        <w:noBreakHyphen/>
      </w:r>
      <w:r w:rsidRPr="00A23B02">
        <w:t>1.03A</w:t>
      </w:r>
      <w:r>
        <w:t xml:space="preserve"> or be accredited by the AASHTO Accreditation Program (AAP) for the scope and standard being evaluated</w:t>
      </w:r>
      <w:r w:rsidRPr="00A23B02">
        <w:t>.</w:t>
      </w:r>
    </w:p>
    <w:p w14:paraId="4B4709C2" w14:textId="77777777" w:rsidR="001D65C1" w:rsidRPr="00584C7A" w:rsidRDefault="001D65C1" w:rsidP="001D65C1">
      <w:pPr>
        <w:pStyle w:val="SPEC4"/>
        <w:numPr>
          <w:ilvl w:val="4"/>
          <w:numId w:val="3"/>
        </w:numPr>
      </w:pPr>
      <w:r w:rsidRPr="00BE4490">
        <w:rPr>
          <w:rStyle w:val="EmphasisUnderline"/>
        </w:rPr>
        <w:t>Plant qualification</w:t>
      </w:r>
      <w:r w:rsidRPr="00B23A76">
        <w:t xml:space="preserve">: </w:t>
      </w:r>
      <w:r w:rsidRPr="00A23B02">
        <w:t xml:space="preserve">Batch </w:t>
      </w:r>
      <w:r>
        <w:t xml:space="preserve">or continuous mixing </w:t>
      </w:r>
      <w:r w:rsidRPr="00A23B02">
        <w:t>plant</w:t>
      </w:r>
      <w:r>
        <w:t>s</w:t>
      </w:r>
      <w:r w:rsidRPr="00A23B02">
        <w:t xml:space="preserve"> used for porous asphalt shall meet the requirements of Caltrans Standard Specification</w:t>
      </w:r>
      <w:r>
        <w:t xml:space="preserve"> Section 39</w:t>
      </w:r>
      <w:r>
        <w:noBreakHyphen/>
      </w:r>
      <w:r w:rsidRPr="00A23B02">
        <w:t>1.08A.</w:t>
      </w:r>
    </w:p>
    <w:p w14:paraId="7F4E2CAB" w14:textId="77777777" w:rsidR="001D65C1" w:rsidRPr="002D18D9" w:rsidRDefault="001D65C1" w:rsidP="001D65C1">
      <w:pPr>
        <w:pStyle w:val="SPEC2"/>
        <w:numPr>
          <w:ilvl w:val="2"/>
          <w:numId w:val="3"/>
        </w:numPr>
      </w:pPr>
      <w:r w:rsidRPr="00BE4490">
        <w:rPr>
          <w:rStyle w:val="EmphasisUnderline"/>
        </w:rPr>
        <w:t>Authorized Job Mix Formula (JMF)</w:t>
      </w:r>
      <w:r w:rsidRPr="00B23A76">
        <w:t>:</w:t>
      </w:r>
      <w:r w:rsidRPr="00584C7A">
        <w:t xml:space="preserve"> </w:t>
      </w:r>
      <w:r>
        <w:t>The mix design process shall conform to Caltrans Specification Section 39</w:t>
      </w:r>
      <w:r>
        <w:noBreakHyphen/>
      </w:r>
      <w:r w:rsidRPr="002D18D9">
        <w:t>1.03 except as noted below.</w:t>
      </w:r>
    </w:p>
    <w:p w14:paraId="75148A1D" w14:textId="77777777" w:rsidR="001D65C1" w:rsidRPr="002D18D9" w:rsidRDefault="001D65C1" w:rsidP="001D65C1">
      <w:pPr>
        <w:pStyle w:val="SPEC3"/>
        <w:numPr>
          <w:ilvl w:val="3"/>
          <w:numId w:val="3"/>
        </w:numPr>
      </w:pPr>
      <w:r w:rsidRPr="002D18D9">
        <w:t xml:space="preserve">The final paragraph under </w:t>
      </w:r>
      <w:r>
        <w:t>Section 39</w:t>
      </w:r>
      <w:r>
        <w:noBreakHyphen/>
      </w:r>
      <w:r w:rsidRPr="002D18D9">
        <w:t>1.03A is deleted and replaced with the following:</w:t>
      </w:r>
    </w:p>
    <w:p w14:paraId="30036D40" w14:textId="77777777" w:rsidR="001D65C1" w:rsidRPr="00C33DD6" w:rsidRDefault="001D65C1" w:rsidP="001D65C1">
      <w:pPr>
        <w:pStyle w:val="SPEC4"/>
        <w:numPr>
          <w:ilvl w:val="4"/>
          <w:numId w:val="3"/>
        </w:numPr>
      </w:pPr>
      <w:r w:rsidRPr="002D18D9">
        <w:t>Submit a complete JMF submittal including identification of asphalt binder percentage in form CEM</w:t>
      </w:r>
      <w:r>
        <w:noBreakHyphen/>
      </w:r>
      <w:r w:rsidRPr="002D18D9">
        <w:t>3511 Contractor Job Mix Formula Proposal. Determine the optimum asphalt binde</w:t>
      </w:r>
      <w:r>
        <w:t>r content using California Test </w:t>
      </w:r>
      <w:r w:rsidRPr="002D18D9">
        <w:t>368</w:t>
      </w:r>
      <w:r>
        <w:t xml:space="preserve"> in a lab that meets the requirements of 1.05.A. of these specifications</w:t>
      </w:r>
      <w:r w:rsidRPr="002D18D9">
        <w:t>.</w:t>
      </w:r>
    </w:p>
    <w:p w14:paraId="0E830DB0" w14:textId="77777777" w:rsidR="001D65C1" w:rsidRDefault="001D65C1" w:rsidP="001D65C1">
      <w:pPr>
        <w:pStyle w:val="SPECIndent2"/>
      </w:pPr>
      <w:r>
        <w:lastRenderedPageBreak/>
        <w:t>The products used in the JMF shall meet the requirements in Section 2.01 of this Specification.</w:t>
      </w:r>
    </w:p>
    <w:p w14:paraId="54B0DFD2" w14:textId="77777777" w:rsidR="001D65C1" w:rsidRPr="008F07F7" w:rsidRDefault="001D65C1" w:rsidP="001D65C1">
      <w:pPr>
        <w:pStyle w:val="SPECIndent2"/>
      </w:pPr>
      <w:r>
        <w:t>The JMF shall meet the quality characteristics defined in Section 39</w:t>
      </w:r>
      <w:r>
        <w:noBreakHyphen/>
      </w:r>
      <w:r w:rsidRPr="002D18D9">
        <w:t xml:space="preserve">2.02B (Quality Control for Standard Construction Process) </w:t>
      </w:r>
      <w:r>
        <w:t>with the modified and additional</w:t>
      </w:r>
      <w:r w:rsidRPr="002D18D9">
        <w:t xml:space="preserve"> quality </w:t>
      </w:r>
      <w:r w:rsidRPr="00E930E6">
        <w:t>characteristics</w:t>
      </w:r>
      <w:r>
        <w:t xml:space="preserve"> listed in the table below.</w:t>
      </w:r>
    </w:p>
    <w:tbl>
      <w:tblPr>
        <w:tblStyle w:val="TableGrid"/>
        <w:tblW w:w="8010" w:type="dxa"/>
        <w:tblInd w:w="1345" w:type="dxa"/>
        <w:tblLook w:val="04A0" w:firstRow="1" w:lastRow="0" w:firstColumn="1" w:lastColumn="0" w:noHBand="0" w:noVBand="1"/>
      </w:tblPr>
      <w:tblGrid>
        <w:gridCol w:w="3330"/>
        <w:gridCol w:w="2340"/>
        <w:gridCol w:w="2340"/>
      </w:tblGrid>
      <w:tr w:rsidR="001D65C1" w14:paraId="4DE3BBCF" w14:textId="77777777" w:rsidTr="00CE24A9">
        <w:tc>
          <w:tcPr>
            <w:tcW w:w="3330" w:type="dxa"/>
            <w:vAlign w:val="bottom"/>
          </w:tcPr>
          <w:p w14:paraId="20874EB0" w14:textId="77777777" w:rsidR="001D65C1" w:rsidRPr="00B8275A" w:rsidRDefault="001D65C1" w:rsidP="00CE24A9">
            <w:pPr>
              <w:pStyle w:val="TableHeading"/>
            </w:pPr>
            <w:r w:rsidRPr="00B8275A">
              <w:t>Quality Characteristics</w:t>
            </w:r>
          </w:p>
        </w:tc>
        <w:tc>
          <w:tcPr>
            <w:tcW w:w="2340" w:type="dxa"/>
            <w:vAlign w:val="bottom"/>
          </w:tcPr>
          <w:p w14:paraId="01E26FC9" w14:textId="77777777" w:rsidR="001D65C1" w:rsidRPr="00A23B02" w:rsidRDefault="001D65C1" w:rsidP="00CE24A9">
            <w:pPr>
              <w:pStyle w:val="TableHeading"/>
            </w:pPr>
            <w:r w:rsidRPr="00A23B02">
              <w:t>Test Method</w:t>
            </w:r>
          </w:p>
        </w:tc>
        <w:tc>
          <w:tcPr>
            <w:tcW w:w="2340" w:type="dxa"/>
            <w:vAlign w:val="bottom"/>
          </w:tcPr>
          <w:p w14:paraId="66E72E2F" w14:textId="77777777" w:rsidR="001D65C1" w:rsidRPr="00B8275A" w:rsidRDefault="001D65C1" w:rsidP="00CE24A9">
            <w:pPr>
              <w:pStyle w:val="TableHeading"/>
            </w:pPr>
            <w:r w:rsidRPr="00B8275A">
              <w:t>Requirement</w:t>
            </w:r>
          </w:p>
        </w:tc>
      </w:tr>
      <w:tr w:rsidR="001D65C1" w14:paraId="5F0F6EF9" w14:textId="77777777" w:rsidTr="00CE24A9">
        <w:tc>
          <w:tcPr>
            <w:tcW w:w="3330" w:type="dxa"/>
            <w:vAlign w:val="center"/>
          </w:tcPr>
          <w:p w14:paraId="34A8D2E9" w14:textId="77777777" w:rsidR="001D65C1" w:rsidRPr="00B8275A" w:rsidRDefault="001D65C1" w:rsidP="00CE24A9">
            <w:pPr>
              <w:pStyle w:val="TableText"/>
              <w:jc w:val="center"/>
            </w:pPr>
            <w:r>
              <w:t>Aggregate Durability Index</w:t>
            </w:r>
          </w:p>
        </w:tc>
        <w:tc>
          <w:tcPr>
            <w:tcW w:w="2340" w:type="dxa"/>
            <w:vAlign w:val="center"/>
          </w:tcPr>
          <w:p w14:paraId="4BAFFEE6" w14:textId="77777777" w:rsidR="001D65C1" w:rsidRPr="00A23B02" w:rsidRDefault="001D65C1" w:rsidP="00CE24A9">
            <w:pPr>
              <w:pStyle w:val="TableText"/>
              <w:jc w:val="center"/>
            </w:pPr>
            <w:r>
              <w:t>CT 229</w:t>
            </w:r>
          </w:p>
        </w:tc>
        <w:tc>
          <w:tcPr>
            <w:tcW w:w="2340" w:type="dxa"/>
            <w:vAlign w:val="center"/>
          </w:tcPr>
          <w:p w14:paraId="39D2979F" w14:textId="77777777" w:rsidR="001D65C1" w:rsidRPr="00B8275A" w:rsidRDefault="001D65C1" w:rsidP="00CE24A9">
            <w:pPr>
              <w:pStyle w:val="TableText"/>
              <w:jc w:val="center"/>
            </w:pPr>
            <w:r>
              <w:t>DI &gt;= 35</w:t>
            </w:r>
          </w:p>
        </w:tc>
      </w:tr>
      <w:tr w:rsidR="001D65C1" w14:paraId="715BF219" w14:textId="77777777" w:rsidTr="00CE24A9">
        <w:tc>
          <w:tcPr>
            <w:tcW w:w="3330" w:type="dxa"/>
            <w:vAlign w:val="center"/>
          </w:tcPr>
          <w:p w14:paraId="6E2139D8" w14:textId="77777777" w:rsidR="001D65C1" w:rsidRDefault="001D65C1" w:rsidP="00CE24A9">
            <w:pPr>
              <w:pStyle w:val="TableText"/>
              <w:jc w:val="center"/>
            </w:pPr>
            <w:r>
              <w:t>Aggregate Cleanness Value</w:t>
            </w:r>
          </w:p>
        </w:tc>
        <w:tc>
          <w:tcPr>
            <w:tcW w:w="2340" w:type="dxa"/>
            <w:vAlign w:val="center"/>
          </w:tcPr>
          <w:p w14:paraId="0BB5092F" w14:textId="77777777" w:rsidR="001D65C1" w:rsidRDefault="001D65C1" w:rsidP="00CE24A9">
            <w:pPr>
              <w:pStyle w:val="TableText"/>
              <w:jc w:val="center"/>
            </w:pPr>
            <w:r>
              <w:t>CT 227</w:t>
            </w:r>
          </w:p>
        </w:tc>
        <w:tc>
          <w:tcPr>
            <w:tcW w:w="2340" w:type="dxa"/>
            <w:vAlign w:val="center"/>
          </w:tcPr>
          <w:p w14:paraId="3B2E1156" w14:textId="77777777" w:rsidR="001D65C1" w:rsidRDefault="001D65C1" w:rsidP="00CE24A9">
            <w:pPr>
              <w:pStyle w:val="TableText"/>
              <w:jc w:val="center"/>
            </w:pPr>
            <w:r>
              <w:t>CV &gt;= 75</w:t>
            </w:r>
          </w:p>
        </w:tc>
      </w:tr>
      <w:tr w:rsidR="001D65C1" w14:paraId="20302B17" w14:textId="77777777" w:rsidTr="00CE24A9">
        <w:tc>
          <w:tcPr>
            <w:tcW w:w="3330" w:type="dxa"/>
            <w:vAlign w:val="center"/>
          </w:tcPr>
          <w:p w14:paraId="6F638B76" w14:textId="77777777" w:rsidR="001D65C1" w:rsidRPr="00B8275A" w:rsidRDefault="001D65C1" w:rsidP="00CE24A9">
            <w:pPr>
              <w:pStyle w:val="TableText"/>
              <w:jc w:val="center"/>
              <w:rPr>
                <w:vertAlign w:val="superscript"/>
              </w:rPr>
            </w:pPr>
            <w:r w:rsidRPr="00B8275A">
              <w:t xml:space="preserve">Air Void Content by </w:t>
            </w:r>
            <w:proofErr w:type="spellStart"/>
            <w:r w:rsidRPr="00B8275A">
              <w:t>Corelok</w:t>
            </w:r>
            <w:proofErr w:type="spellEnd"/>
            <w:r w:rsidRPr="00B8275A">
              <w:t xml:space="preserve"> (%)</w:t>
            </w:r>
            <w:r w:rsidRPr="00BE4490">
              <w:rPr>
                <w:sz w:val="20"/>
                <w:vertAlign w:val="superscript"/>
              </w:rPr>
              <w:t>1</w:t>
            </w:r>
          </w:p>
        </w:tc>
        <w:tc>
          <w:tcPr>
            <w:tcW w:w="2340" w:type="dxa"/>
            <w:vAlign w:val="center"/>
          </w:tcPr>
          <w:p w14:paraId="58EA1ABD" w14:textId="77777777" w:rsidR="001D65C1" w:rsidRPr="00A23B02" w:rsidRDefault="001D65C1" w:rsidP="00CE24A9">
            <w:pPr>
              <w:pStyle w:val="TableText"/>
              <w:jc w:val="center"/>
            </w:pPr>
            <w:r>
              <w:t>ASTM </w:t>
            </w:r>
            <w:r w:rsidRPr="00A23B02">
              <w:t xml:space="preserve">D6752 (with </w:t>
            </w:r>
            <w:r>
              <w:br/>
              <w:t>AASHTO T209 and ASTM </w:t>
            </w:r>
            <w:r w:rsidRPr="00A23B02">
              <w:t>D3203)</w:t>
            </w:r>
          </w:p>
        </w:tc>
        <w:tc>
          <w:tcPr>
            <w:tcW w:w="2340" w:type="dxa"/>
            <w:vAlign w:val="center"/>
          </w:tcPr>
          <w:p w14:paraId="28109BA7" w14:textId="77777777" w:rsidR="001D65C1" w:rsidRPr="00B8275A" w:rsidRDefault="001D65C1" w:rsidP="00CE24A9">
            <w:pPr>
              <w:pStyle w:val="TableText"/>
              <w:jc w:val="center"/>
            </w:pPr>
            <w:r w:rsidRPr="00B8275A">
              <w:t>1</w:t>
            </w:r>
            <w:r>
              <w:t>6–</w:t>
            </w:r>
            <w:r w:rsidRPr="00B8275A">
              <w:t>20</w:t>
            </w:r>
            <w:r>
              <w:t>%</w:t>
            </w:r>
          </w:p>
        </w:tc>
      </w:tr>
      <w:tr w:rsidR="001D65C1" w14:paraId="24FC82CE" w14:textId="77777777" w:rsidTr="00CE24A9">
        <w:tc>
          <w:tcPr>
            <w:tcW w:w="3330" w:type="dxa"/>
            <w:vAlign w:val="center"/>
          </w:tcPr>
          <w:p w14:paraId="72F1C787" w14:textId="77777777" w:rsidR="001D65C1" w:rsidRPr="00B8275A" w:rsidRDefault="001D65C1" w:rsidP="00CE24A9">
            <w:pPr>
              <w:pStyle w:val="TableText"/>
              <w:jc w:val="center"/>
              <w:rPr>
                <w:vertAlign w:val="superscript"/>
              </w:rPr>
            </w:pPr>
            <w:r w:rsidRPr="00B8275A">
              <w:t>Air Void Content by Paraffin Wax (%)</w:t>
            </w:r>
            <w:r w:rsidRPr="00BE4490">
              <w:rPr>
                <w:sz w:val="20"/>
                <w:vertAlign w:val="superscript"/>
              </w:rPr>
              <w:t>1</w:t>
            </w:r>
          </w:p>
        </w:tc>
        <w:tc>
          <w:tcPr>
            <w:tcW w:w="2340" w:type="dxa"/>
            <w:vAlign w:val="center"/>
          </w:tcPr>
          <w:p w14:paraId="40806C65" w14:textId="77777777" w:rsidR="001D65C1" w:rsidRPr="00A23B02" w:rsidRDefault="001D65C1" w:rsidP="00CE24A9">
            <w:pPr>
              <w:pStyle w:val="TableText"/>
              <w:jc w:val="center"/>
            </w:pPr>
            <w:r>
              <w:t>AASHTO </w:t>
            </w:r>
            <w:r w:rsidRPr="00A23B02">
              <w:t xml:space="preserve">T275 (with </w:t>
            </w:r>
            <w:r>
              <w:br/>
              <w:t>AASHTO T209 and ASTM </w:t>
            </w:r>
            <w:r w:rsidRPr="00A23B02">
              <w:t>D3203)</w:t>
            </w:r>
          </w:p>
        </w:tc>
        <w:tc>
          <w:tcPr>
            <w:tcW w:w="2340" w:type="dxa"/>
            <w:vAlign w:val="center"/>
          </w:tcPr>
          <w:p w14:paraId="19CB3D54" w14:textId="77777777" w:rsidR="001D65C1" w:rsidRPr="00B8275A" w:rsidRDefault="001D65C1" w:rsidP="00CE24A9">
            <w:pPr>
              <w:pStyle w:val="TableText"/>
              <w:jc w:val="center"/>
            </w:pPr>
            <w:r w:rsidRPr="00B8275A">
              <w:t>1</w:t>
            </w:r>
            <w:r>
              <w:t>8–</w:t>
            </w:r>
            <w:r w:rsidRPr="00B8275A">
              <w:t>22</w:t>
            </w:r>
            <w:r>
              <w:t>%</w:t>
            </w:r>
          </w:p>
        </w:tc>
      </w:tr>
      <w:tr w:rsidR="001D65C1" w14:paraId="0A03E4ED" w14:textId="77777777" w:rsidTr="00CE24A9">
        <w:tc>
          <w:tcPr>
            <w:tcW w:w="3330" w:type="dxa"/>
            <w:vAlign w:val="center"/>
          </w:tcPr>
          <w:p w14:paraId="0632D0A9" w14:textId="77777777" w:rsidR="001D65C1" w:rsidRPr="00B8275A" w:rsidRDefault="001D65C1" w:rsidP="00CE24A9">
            <w:pPr>
              <w:pStyle w:val="TableText"/>
              <w:jc w:val="center"/>
            </w:pPr>
            <w:proofErr w:type="spellStart"/>
            <w:r w:rsidRPr="00B8275A">
              <w:t>Draindown</w:t>
            </w:r>
            <w:proofErr w:type="spellEnd"/>
            <w:r w:rsidRPr="00B8275A">
              <w:t xml:space="preserve"> (% of total weight)</w:t>
            </w:r>
          </w:p>
        </w:tc>
        <w:tc>
          <w:tcPr>
            <w:tcW w:w="2340" w:type="dxa"/>
            <w:vAlign w:val="center"/>
          </w:tcPr>
          <w:p w14:paraId="667BA33B" w14:textId="77777777" w:rsidR="001D65C1" w:rsidRPr="00A23B02" w:rsidRDefault="001D65C1" w:rsidP="00CE24A9">
            <w:pPr>
              <w:pStyle w:val="TableText"/>
              <w:jc w:val="center"/>
            </w:pPr>
            <w:r>
              <w:t>ASTM </w:t>
            </w:r>
            <w:r w:rsidRPr="00A23B02">
              <w:t>D6390</w:t>
            </w:r>
          </w:p>
        </w:tc>
        <w:tc>
          <w:tcPr>
            <w:tcW w:w="2340" w:type="dxa"/>
            <w:vAlign w:val="center"/>
          </w:tcPr>
          <w:p w14:paraId="30320559" w14:textId="77777777" w:rsidR="001D65C1" w:rsidRPr="00B8275A" w:rsidRDefault="001D65C1" w:rsidP="00CE24A9">
            <w:pPr>
              <w:pStyle w:val="TableText"/>
              <w:jc w:val="center"/>
            </w:pPr>
            <w:r w:rsidRPr="00B8275A">
              <w:t>&lt;=</w:t>
            </w:r>
            <w:r>
              <w:t> </w:t>
            </w:r>
            <w:r w:rsidRPr="00B8275A">
              <w:t>3%</w:t>
            </w:r>
          </w:p>
        </w:tc>
      </w:tr>
      <w:tr w:rsidR="001D65C1" w14:paraId="02B4CD96" w14:textId="77777777" w:rsidTr="00CE24A9">
        <w:tc>
          <w:tcPr>
            <w:tcW w:w="3330" w:type="dxa"/>
            <w:vAlign w:val="center"/>
          </w:tcPr>
          <w:p w14:paraId="52721769" w14:textId="77777777" w:rsidR="001D65C1" w:rsidRPr="00B8275A" w:rsidRDefault="001D65C1" w:rsidP="00CE24A9">
            <w:pPr>
              <w:pStyle w:val="TableText"/>
              <w:jc w:val="center"/>
            </w:pPr>
            <w:r w:rsidRPr="00B8275A">
              <w:t>Retained Tensile Strength (%)</w:t>
            </w:r>
          </w:p>
        </w:tc>
        <w:tc>
          <w:tcPr>
            <w:tcW w:w="2340" w:type="dxa"/>
            <w:vAlign w:val="center"/>
          </w:tcPr>
          <w:p w14:paraId="7DF903A3" w14:textId="77777777" w:rsidR="001D65C1" w:rsidRPr="00A23B02" w:rsidRDefault="001D65C1" w:rsidP="00CE24A9">
            <w:pPr>
              <w:pStyle w:val="TableText"/>
              <w:jc w:val="center"/>
            </w:pPr>
            <w:r>
              <w:t>AASHTO </w:t>
            </w:r>
            <w:r w:rsidRPr="00A23B02">
              <w:t>283</w:t>
            </w:r>
          </w:p>
        </w:tc>
        <w:tc>
          <w:tcPr>
            <w:tcW w:w="2340" w:type="dxa"/>
            <w:vAlign w:val="center"/>
          </w:tcPr>
          <w:p w14:paraId="550D8504" w14:textId="77777777" w:rsidR="001D65C1" w:rsidRPr="00B8275A" w:rsidRDefault="001D65C1" w:rsidP="00CE24A9">
            <w:pPr>
              <w:pStyle w:val="TableText"/>
              <w:jc w:val="center"/>
            </w:pPr>
            <w:r w:rsidRPr="00B8275A">
              <w:t>&gt;=</w:t>
            </w:r>
            <w:r>
              <w:t> </w:t>
            </w:r>
            <w:r w:rsidRPr="00B8275A">
              <w:t>80%</w:t>
            </w:r>
          </w:p>
        </w:tc>
      </w:tr>
      <w:tr w:rsidR="001D65C1" w14:paraId="011D86FC" w14:textId="77777777" w:rsidTr="00CE24A9">
        <w:tc>
          <w:tcPr>
            <w:tcW w:w="3330" w:type="dxa"/>
            <w:vAlign w:val="center"/>
          </w:tcPr>
          <w:p w14:paraId="6D3FB2E1" w14:textId="77777777" w:rsidR="001D65C1" w:rsidRPr="00AB6444" w:rsidRDefault="001D65C1" w:rsidP="00CE24A9">
            <w:pPr>
              <w:pStyle w:val="TableText"/>
              <w:jc w:val="center"/>
            </w:pPr>
            <w:r w:rsidRPr="00AB6444">
              <w:t xml:space="preserve">Infiltration Rate </w:t>
            </w:r>
            <w:r>
              <w:br/>
            </w:r>
            <w:r w:rsidRPr="00AB6444">
              <w:t>(Average Inches per Hour)</w:t>
            </w:r>
          </w:p>
        </w:tc>
        <w:tc>
          <w:tcPr>
            <w:tcW w:w="2340" w:type="dxa"/>
            <w:vAlign w:val="center"/>
          </w:tcPr>
          <w:p w14:paraId="3FBE5535" w14:textId="77777777" w:rsidR="001D65C1" w:rsidRPr="00A23B02" w:rsidRDefault="001D65C1" w:rsidP="00CE24A9">
            <w:pPr>
              <w:pStyle w:val="TableText"/>
              <w:jc w:val="center"/>
            </w:pPr>
            <w:r>
              <w:t>ASTM </w:t>
            </w:r>
            <w:r w:rsidRPr="00A23B02">
              <w:t>C1701</w:t>
            </w:r>
          </w:p>
        </w:tc>
        <w:tc>
          <w:tcPr>
            <w:tcW w:w="2340" w:type="dxa"/>
            <w:vAlign w:val="center"/>
          </w:tcPr>
          <w:p w14:paraId="03D79937" w14:textId="77777777" w:rsidR="001D65C1" w:rsidRPr="00AB6444" w:rsidRDefault="001D65C1" w:rsidP="00CE24A9">
            <w:pPr>
              <w:pStyle w:val="TableText"/>
              <w:jc w:val="center"/>
            </w:pPr>
            <w:r w:rsidRPr="00A23B02">
              <w:t>See Note 2.</w:t>
            </w:r>
          </w:p>
        </w:tc>
      </w:tr>
    </w:tbl>
    <w:p w14:paraId="64D02745" w14:textId="77777777" w:rsidR="001D65C1" w:rsidRDefault="001D65C1" w:rsidP="001D65C1">
      <w:pPr>
        <w:pStyle w:val="tablenote"/>
        <w:ind w:left="1611"/>
      </w:pPr>
      <w:r w:rsidRPr="00BE4490">
        <w:rPr>
          <w:sz w:val="20"/>
          <w:vertAlign w:val="superscript"/>
        </w:rPr>
        <w:t>1</w:t>
      </w:r>
      <w:r>
        <w:tab/>
      </w:r>
      <w:r w:rsidRPr="00B8275A">
        <w:t>Either method of determining air void content is acceptable.</w:t>
      </w:r>
    </w:p>
    <w:p w14:paraId="207F64FA" w14:textId="77777777" w:rsidR="001D65C1" w:rsidRDefault="001D65C1" w:rsidP="001D65C1">
      <w:pPr>
        <w:pStyle w:val="tablenote"/>
        <w:ind w:left="1611"/>
      </w:pPr>
      <w:r w:rsidRPr="00BE4490">
        <w:rPr>
          <w:sz w:val="20"/>
          <w:vertAlign w:val="superscript"/>
        </w:rPr>
        <w:t>2</w:t>
      </w:r>
      <w:r>
        <w:tab/>
        <w:t xml:space="preserve">The finish surface shall yield an infiltration rate that is consistent with the following: </w:t>
      </w:r>
      <w:r w:rsidRPr="00D16EF1">
        <w:t xml:space="preserve">The average </w:t>
      </w:r>
      <w:r>
        <w:t>infiltration rate from three (3) </w:t>
      </w:r>
      <w:r w:rsidRPr="00D16EF1">
        <w:t xml:space="preserve">infiltration tests </w:t>
      </w:r>
      <w:r>
        <w:t>conducted per ASTM </w:t>
      </w:r>
      <w:r w:rsidRPr="008E2AED">
        <w:t>C1701</w:t>
      </w:r>
      <w:r>
        <w:t xml:space="preserve"> shall be greater than 100 </w:t>
      </w:r>
      <w:r w:rsidRPr="00D16EF1">
        <w:t>inches per hour with no single test less than 5</w:t>
      </w:r>
      <w:r>
        <w:t>0 </w:t>
      </w:r>
      <w:r w:rsidRPr="00D16EF1">
        <w:t>inches per hour.</w:t>
      </w:r>
      <w:r>
        <w:t xml:space="preserve"> Water shall infiltrate rapidly and uniformly through the surface without formation of large puddles when applied at a rate of 5 gallons per minute (</w:t>
      </w:r>
      <w:proofErr w:type="spellStart"/>
      <w:r>
        <w:t>gpm</w:t>
      </w:r>
      <w:proofErr w:type="spellEnd"/>
      <w:r>
        <w:t>).</w:t>
      </w:r>
    </w:p>
    <w:p w14:paraId="525180C5" w14:textId="77777777" w:rsidR="001D65C1" w:rsidRDefault="001D65C1" w:rsidP="001D65C1">
      <w:pPr>
        <w:pStyle w:val="SPEC3"/>
        <w:numPr>
          <w:ilvl w:val="3"/>
          <w:numId w:val="3"/>
        </w:numPr>
      </w:pPr>
      <w:r w:rsidRPr="00584C7A">
        <w:t xml:space="preserve">Once verified and accepted by the Engineer, the JMF meeting </w:t>
      </w:r>
      <w:r>
        <w:t xml:space="preserve">the criteria above </w:t>
      </w:r>
      <w:r w:rsidRPr="00584C7A">
        <w:t>shall become the Authorized JMF. Acceptance of the JMF shall be per Caltrans</w:t>
      </w:r>
      <w:r>
        <w:t xml:space="preserve"> Standard Specification Section 39</w:t>
      </w:r>
      <w:r>
        <w:noBreakHyphen/>
      </w:r>
      <w:r w:rsidRPr="00584C7A">
        <w:t>1.03G</w:t>
      </w:r>
      <w:r>
        <w:t>, except that verification of the JMF by the City of San Francisco shall be considered equivalent to verification of the JMF by Caltrans</w:t>
      </w:r>
      <w:r w:rsidRPr="00584C7A">
        <w:t xml:space="preserve">. </w:t>
      </w:r>
      <w:r>
        <w:t>A</w:t>
      </w:r>
      <w:r w:rsidRPr="00584C7A">
        <w:t xml:space="preserve">ny </w:t>
      </w:r>
      <w:r w:rsidRPr="002B5763">
        <w:t xml:space="preserve">adjustments or renewals of the JMF shall be per </w:t>
      </w:r>
      <w:r w:rsidRPr="00CD18C3">
        <w:t xml:space="preserve">Caltrans </w:t>
      </w:r>
      <w:r>
        <w:t>Standard Specifications Section 39</w:t>
      </w:r>
      <w:r>
        <w:noBreakHyphen/>
      </w:r>
      <w:r w:rsidRPr="00CD18C3">
        <w:t>1.03 (Hot Mix Asphalt Mix Design Requirements)</w:t>
      </w:r>
      <w:r w:rsidRPr="00584C7A">
        <w:t>.</w:t>
      </w:r>
      <w:r>
        <w:t xml:space="preserve"> Submit a letter from the asphalt supplier with the recommended temperature ranges for mixing, laying, breakdown rolling, and finished rolling, as well as the recommended maximum temperature of the finished mat before placement of subsequent lifts.</w:t>
      </w:r>
    </w:p>
    <w:p w14:paraId="1BC5D704" w14:textId="77777777" w:rsidR="001D65C1" w:rsidRDefault="00CE24A9" w:rsidP="001D65C1">
      <w:pPr>
        <w:pStyle w:val="SPEC2"/>
        <w:numPr>
          <w:ilvl w:val="2"/>
          <w:numId w:val="3"/>
        </w:numPr>
      </w:pPr>
      <w:r>
        <w:t>Responsibilities of Contractor</w:t>
      </w:r>
    </w:p>
    <w:p w14:paraId="0FD678F1" w14:textId="77777777" w:rsidR="001D65C1" w:rsidRPr="00470C7F" w:rsidRDefault="001D65C1" w:rsidP="001D65C1">
      <w:pPr>
        <w:pStyle w:val="SPEC3"/>
        <w:numPr>
          <w:ilvl w:val="3"/>
          <w:numId w:val="3"/>
        </w:numPr>
      </w:pPr>
      <w:r w:rsidRPr="00BE4490">
        <w:rPr>
          <w:rStyle w:val="EmphasisUnderline"/>
        </w:rPr>
        <w:t>General</w:t>
      </w:r>
      <w:r w:rsidRPr="00A23B02">
        <w:t xml:space="preserve">: </w:t>
      </w:r>
      <w:r w:rsidRPr="00470C7F">
        <w:t>Conform to the re</w:t>
      </w:r>
      <w:r>
        <w:t>quirements set forth in Section 39</w:t>
      </w:r>
      <w:r>
        <w:noBreakHyphen/>
      </w:r>
      <w:r w:rsidRPr="00470C7F">
        <w:t xml:space="preserve">1.04 (Contractor Quality Control) </w:t>
      </w:r>
      <w:r w:rsidRPr="00A23B02">
        <w:t>an</w:t>
      </w:r>
      <w:r>
        <w:t>d Section 39</w:t>
      </w:r>
      <w:r>
        <w:noBreakHyphen/>
      </w:r>
      <w:r w:rsidRPr="00A23B02">
        <w:t xml:space="preserve">2.02 (Standard Construction Process Contractor Quality Control) </w:t>
      </w:r>
      <w:r w:rsidRPr="00470C7F">
        <w:t>of the Caltrans Standard Specifications.</w:t>
      </w:r>
    </w:p>
    <w:p w14:paraId="31EA69C7" w14:textId="77777777" w:rsidR="00CE24A9" w:rsidRPr="00CE24A9" w:rsidRDefault="00CE24A9" w:rsidP="001D65C1">
      <w:pPr>
        <w:pStyle w:val="SPEC3"/>
        <w:numPr>
          <w:ilvl w:val="3"/>
          <w:numId w:val="3"/>
        </w:numPr>
      </w:pPr>
      <w:r w:rsidRPr="00CE24A9">
        <w:rPr>
          <w:rStyle w:val="EmphasisUnderline"/>
        </w:rPr>
        <w:t>Pre-Placement Conference</w:t>
      </w:r>
      <w:r w:rsidRPr="00CE24A9">
        <w:t>: A mandatory pre-placement conference will take place, including at a minimum the Engineer, the Owner, the general Contractor, and paving subcontractor, to review preparation, placement, testing procedures, and responsibilities.</w:t>
      </w:r>
    </w:p>
    <w:p w14:paraId="08E8C1ED" w14:textId="77777777" w:rsidR="001D65C1" w:rsidRDefault="001D65C1" w:rsidP="001D65C1">
      <w:pPr>
        <w:pStyle w:val="SPEC3"/>
        <w:numPr>
          <w:ilvl w:val="3"/>
          <w:numId w:val="3"/>
        </w:numPr>
      </w:pPr>
      <w:r w:rsidRPr="00BE4490">
        <w:rPr>
          <w:rStyle w:val="EmphasisUnderline"/>
        </w:rPr>
        <w:lastRenderedPageBreak/>
        <w:t>Quality Control</w:t>
      </w:r>
      <w:r w:rsidRPr="00470C7F">
        <w:t xml:space="preserve">: </w:t>
      </w:r>
      <w:r w:rsidRPr="00A23B02">
        <w:t>Contractor quality control inspection and testing</w:t>
      </w:r>
      <w:r w:rsidRPr="00470C7F">
        <w:t xml:space="preserve"> of porous asphalt shall be conducted in accordance with </w:t>
      </w:r>
      <w:r w:rsidRPr="00A23B02">
        <w:t>the approved QC plan.</w:t>
      </w:r>
    </w:p>
    <w:p w14:paraId="64645146" w14:textId="77777777" w:rsidR="001D65C1" w:rsidRDefault="001D65C1" w:rsidP="001D65C1">
      <w:pPr>
        <w:pStyle w:val="SPEC3"/>
        <w:numPr>
          <w:ilvl w:val="3"/>
          <w:numId w:val="3"/>
        </w:numPr>
      </w:pPr>
      <w:r w:rsidRPr="00BE4490">
        <w:rPr>
          <w:rStyle w:val="EmphasisUnderline"/>
        </w:rPr>
        <w:t>Load Slip</w:t>
      </w:r>
      <w:r w:rsidRPr="00BE4490">
        <w:t>:</w:t>
      </w:r>
      <w:r>
        <w:t xml:space="preserve"> Provide a</w:t>
      </w:r>
      <w:r w:rsidRPr="002D18D9">
        <w:t xml:space="preserve"> load slip certified by a licensed </w:t>
      </w:r>
      <w:proofErr w:type="spellStart"/>
      <w:r w:rsidRPr="002D18D9">
        <w:t>weightmaster</w:t>
      </w:r>
      <w:proofErr w:type="spellEnd"/>
      <w:r w:rsidRPr="002D18D9">
        <w:t xml:space="preserve"> </w:t>
      </w:r>
      <w:r>
        <w:t xml:space="preserve">showing combined mixture weight for each </w:t>
      </w:r>
      <w:r w:rsidRPr="002D18D9">
        <w:t>load of porous asphalt transported to the location</w:t>
      </w:r>
      <w:r>
        <w:t>.</w:t>
      </w:r>
    </w:p>
    <w:p w14:paraId="778EE2C3" w14:textId="77777777" w:rsidR="00CE24A9" w:rsidRDefault="00CE24A9" w:rsidP="001D65C1">
      <w:pPr>
        <w:pStyle w:val="SPEC3"/>
        <w:numPr>
          <w:ilvl w:val="3"/>
          <w:numId w:val="3"/>
        </w:numPr>
        <w:rPr>
          <w:rStyle w:val="EmphasisUnderline"/>
          <w:u w:val="none"/>
        </w:rPr>
      </w:pPr>
      <w:r w:rsidRPr="00CE24A9">
        <w:rPr>
          <w:rStyle w:val="EmphasisUnderline"/>
        </w:rPr>
        <w:t>Infiltration Rate Testing</w:t>
      </w:r>
      <w:r w:rsidRPr="00CE24A9">
        <w:t>: Perform surface infiltration tests per ASTM C1701 as described below.</w:t>
      </w:r>
    </w:p>
    <w:p w14:paraId="3F9E481A" w14:textId="77777777" w:rsidR="00CE24A9" w:rsidRPr="00CE24A9" w:rsidRDefault="00CE24A9" w:rsidP="00CE24A9">
      <w:pPr>
        <w:pStyle w:val="SPEC4"/>
      </w:pPr>
      <w:r w:rsidRPr="00CE24A9">
        <w:t>Three (3) test locations per 10,000 square feet of porous asphalt in place.</w:t>
      </w:r>
    </w:p>
    <w:p w14:paraId="3640F1A0" w14:textId="77777777" w:rsidR="00CE24A9" w:rsidRPr="00CE24A9" w:rsidRDefault="00CE24A9" w:rsidP="00CE24A9">
      <w:pPr>
        <w:pStyle w:val="SPEC4"/>
      </w:pPr>
      <w:r w:rsidRPr="00CE24A9">
        <w:t>One (1) additional test location per 5,000 square feet of porous asphalt, or fraction thereof, in place.</w:t>
      </w:r>
    </w:p>
    <w:p w14:paraId="74825B57" w14:textId="77777777" w:rsidR="00CE24A9" w:rsidRPr="00CE24A9" w:rsidRDefault="00CE24A9" w:rsidP="00CE24A9">
      <w:pPr>
        <w:pStyle w:val="SPECIndent3"/>
        <w:rPr>
          <w:color w:val="00B050"/>
        </w:rPr>
      </w:pPr>
      <w:r>
        <w:rPr>
          <w:color w:val="00B050"/>
        </w:rPr>
        <w:t>DESIGNER NOTE: Designer to specify the number and location(s) of required post-construction infiltration tests.</w:t>
      </w:r>
    </w:p>
    <w:p w14:paraId="47F71F1A" w14:textId="77777777" w:rsidR="001D65C1" w:rsidRPr="00CE24A9" w:rsidRDefault="001D65C1" w:rsidP="001D65C1">
      <w:pPr>
        <w:pStyle w:val="SPEC3"/>
        <w:numPr>
          <w:ilvl w:val="3"/>
          <w:numId w:val="3"/>
        </w:numPr>
      </w:pPr>
      <w:r w:rsidRPr="00BE4490">
        <w:rPr>
          <w:rStyle w:val="EmphasisUnderline"/>
        </w:rPr>
        <w:t>Required Inspections</w:t>
      </w:r>
      <w:r w:rsidRPr="00CE24A9">
        <w:t>: Notify the Engineer at least 5 business days prior placement of porous asphalt.</w:t>
      </w:r>
    </w:p>
    <w:p w14:paraId="6E710415" w14:textId="77777777" w:rsidR="001D65C1" w:rsidRPr="00BB4170" w:rsidRDefault="001D65C1" w:rsidP="001D65C1">
      <w:pPr>
        <w:pStyle w:val="SPEC3"/>
        <w:numPr>
          <w:ilvl w:val="3"/>
          <w:numId w:val="3"/>
        </w:numPr>
      </w:pPr>
      <w:r w:rsidRPr="00BE4490">
        <w:rPr>
          <w:rStyle w:val="EmphasisUnderline"/>
        </w:rPr>
        <w:t>Failed Tests</w:t>
      </w:r>
      <w:r w:rsidRPr="00BB4170">
        <w:t xml:space="preserve">: Each test shall meet the acceptance criteria as defined in this section. For any single quality characteristic except smoothness, if </w:t>
      </w:r>
      <w:r>
        <w:t>two</w:t>
      </w:r>
      <w:r w:rsidRPr="00BB4170">
        <w:t xml:space="preserve"> consecutive quality control test results do not comply with the action limits or specifications:</w:t>
      </w:r>
    </w:p>
    <w:p w14:paraId="00B67917" w14:textId="77777777" w:rsidR="001D65C1" w:rsidRPr="00BB4170" w:rsidRDefault="001D65C1" w:rsidP="001D65C1">
      <w:pPr>
        <w:pStyle w:val="SPEC4"/>
        <w:numPr>
          <w:ilvl w:val="4"/>
          <w:numId w:val="3"/>
        </w:numPr>
      </w:pPr>
      <w:r w:rsidRPr="00BB4170">
        <w:t>Stop production.</w:t>
      </w:r>
    </w:p>
    <w:p w14:paraId="73502AB7" w14:textId="77777777" w:rsidR="001D65C1" w:rsidRPr="00BB4170" w:rsidRDefault="001D65C1" w:rsidP="001D65C1">
      <w:pPr>
        <w:pStyle w:val="SPEC4"/>
        <w:numPr>
          <w:ilvl w:val="4"/>
          <w:numId w:val="3"/>
        </w:numPr>
      </w:pPr>
      <w:r w:rsidRPr="00BB4170">
        <w:t>Notify the Engineer.</w:t>
      </w:r>
    </w:p>
    <w:p w14:paraId="658393A2" w14:textId="77777777" w:rsidR="001D65C1" w:rsidRPr="00BB4170" w:rsidRDefault="001D65C1" w:rsidP="001D65C1">
      <w:pPr>
        <w:pStyle w:val="SPEC4"/>
        <w:numPr>
          <w:ilvl w:val="4"/>
          <w:numId w:val="3"/>
        </w:numPr>
      </w:pPr>
      <w:r w:rsidRPr="00BB4170">
        <w:t>Take corrective action.</w:t>
      </w:r>
    </w:p>
    <w:p w14:paraId="03C39B7A" w14:textId="77777777" w:rsidR="001D65C1" w:rsidRPr="00BB4170" w:rsidRDefault="001D65C1" w:rsidP="001D65C1">
      <w:pPr>
        <w:pStyle w:val="SPEC4"/>
        <w:numPr>
          <w:ilvl w:val="4"/>
          <w:numId w:val="3"/>
        </w:numPr>
      </w:pPr>
      <w:r w:rsidRPr="00BB4170">
        <w:t>Demonstrate compliance with the specifications before resuming production and placement.</w:t>
      </w:r>
    </w:p>
    <w:p w14:paraId="023040D6" w14:textId="77777777" w:rsidR="00193160" w:rsidRDefault="001D65C1" w:rsidP="001D65C1">
      <w:pPr>
        <w:pStyle w:val="SPECIndent2"/>
        <w:rPr>
          <w:color w:val="00B050"/>
        </w:rPr>
      </w:pPr>
      <w:r w:rsidRPr="001D65C1">
        <w:rPr>
          <w:color w:val="00B050"/>
        </w:rPr>
        <w:t xml:space="preserve">DESIGNER NOTE: The following table is a </w:t>
      </w:r>
      <w:r w:rsidRPr="001D65C1">
        <w:rPr>
          <w:rStyle w:val="EmphasisUnderline"/>
          <w:color w:val="00B050"/>
        </w:rPr>
        <w:t>Sample</w:t>
      </w:r>
      <w:r w:rsidRPr="001D65C1">
        <w:rPr>
          <w:color w:val="00B050"/>
        </w:rPr>
        <w:t xml:space="preserve"> Contractor Quality Control Sampling and Testing Plan; it is provided to illustrate the type and frequency of testing that may be required The Contractor will need to develop a similar table as part of their QC plan. Frequency and standard for all tests should be project specific.</w:t>
      </w:r>
    </w:p>
    <w:p w14:paraId="1033F6FC" w14:textId="77777777" w:rsidR="001D65C1" w:rsidRDefault="001D65C1" w:rsidP="001D65C1">
      <w:pPr>
        <w:pStyle w:val="BodyText"/>
        <w:sectPr w:rsidR="001D65C1" w:rsidSect="00684DDE">
          <w:headerReference w:type="default" r:id="rId11"/>
          <w:footerReference w:type="default" r:id="rId12"/>
          <w:endnotePr>
            <w:numFmt w:val="decimal"/>
          </w:endnotePr>
          <w:pgSz w:w="12240" w:h="15840" w:code="1"/>
          <w:pgMar w:top="1440" w:right="1440" w:bottom="1440" w:left="1440" w:header="720" w:footer="720" w:gutter="0"/>
          <w:pgNumType w:start="1"/>
          <w:cols w:space="720"/>
          <w:noEndnote/>
        </w:sectPr>
      </w:pPr>
    </w:p>
    <w:tbl>
      <w:tblPr>
        <w:tblW w:w="12960" w:type="dxa"/>
        <w:tblBorders>
          <w:top w:val="nil"/>
          <w:left w:val="nil"/>
          <w:bottom w:val="nil"/>
          <w:right w:val="nil"/>
        </w:tblBorders>
        <w:tblLayout w:type="fixed"/>
        <w:tblLook w:val="0000" w:firstRow="0" w:lastRow="0" w:firstColumn="0" w:lastColumn="0" w:noHBand="0" w:noVBand="0"/>
      </w:tblPr>
      <w:tblGrid>
        <w:gridCol w:w="3239"/>
        <w:gridCol w:w="1431"/>
        <w:gridCol w:w="1980"/>
        <w:gridCol w:w="1980"/>
        <w:gridCol w:w="1980"/>
        <w:gridCol w:w="1175"/>
        <w:gridCol w:w="1175"/>
      </w:tblGrid>
      <w:tr w:rsidR="001D65C1" w:rsidRPr="00A23B02" w14:paraId="1B0C7D9F" w14:textId="77777777" w:rsidTr="00CE24A9">
        <w:trPr>
          <w:cantSplit/>
          <w:trHeight w:val="393"/>
          <w:tblHeader/>
        </w:trPr>
        <w:tc>
          <w:tcPr>
            <w:tcW w:w="12960"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14:paraId="3496DF97" w14:textId="77777777" w:rsidR="001D65C1" w:rsidRPr="00BE4490" w:rsidRDefault="001D65C1" w:rsidP="00CE24A9">
            <w:pPr>
              <w:pStyle w:val="TableHeading"/>
              <w:rPr>
                <w:color w:val="00B050"/>
              </w:rPr>
            </w:pPr>
            <w:r w:rsidRPr="00BE4490">
              <w:rPr>
                <w:color w:val="00B050"/>
              </w:rPr>
              <w:lastRenderedPageBreak/>
              <w:t>Sample Contractor Quality Control Sampling and Testing Plan</w:t>
            </w:r>
          </w:p>
        </w:tc>
      </w:tr>
      <w:tr w:rsidR="001D65C1" w:rsidRPr="00A23B02" w14:paraId="7CB39E07" w14:textId="77777777" w:rsidTr="00CE24A9">
        <w:trPr>
          <w:cantSplit/>
          <w:trHeight w:val="393"/>
          <w:tblHeader/>
        </w:trPr>
        <w:tc>
          <w:tcPr>
            <w:tcW w:w="3239" w:type="dxa"/>
            <w:tcBorders>
              <w:top w:val="single" w:sz="8" w:space="0" w:color="000000"/>
              <w:left w:val="single" w:sz="8" w:space="0" w:color="000000"/>
              <w:bottom w:val="single" w:sz="8" w:space="0" w:color="000000"/>
              <w:right w:val="single" w:sz="6" w:space="0" w:color="000000"/>
            </w:tcBorders>
            <w:shd w:val="clear" w:color="auto" w:fill="auto"/>
            <w:vAlign w:val="bottom"/>
          </w:tcPr>
          <w:p w14:paraId="493C0777" w14:textId="77777777" w:rsidR="001D65C1" w:rsidRPr="00BE4490" w:rsidRDefault="001D65C1" w:rsidP="00CE24A9">
            <w:pPr>
              <w:pStyle w:val="TableHeading"/>
              <w:rPr>
                <w:color w:val="00B050"/>
              </w:rPr>
            </w:pPr>
            <w:r w:rsidRPr="00BE4490">
              <w:rPr>
                <w:color w:val="00B050"/>
              </w:rPr>
              <w:t>Quality Characteristic</w:t>
            </w:r>
          </w:p>
        </w:tc>
        <w:tc>
          <w:tcPr>
            <w:tcW w:w="1431" w:type="dxa"/>
            <w:tcBorders>
              <w:top w:val="single" w:sz="8" w:space="0" w:color="000000"/>
              <w:left w:val="single" w:sz="6" w:space="0" w:color="000000"/>
              <w:bottom w:val="single" w:sz="8" w:space="0" w:color="000000"/>
              <w:right w:val="single" w:sz="10" w:space="0" w:color="000000"/>
            </w:tcBorders>
            <w:shd w:val="clear" w:color="auto" w:fill="auto"/>
            <w:vAlign w:val="bottom"/>
          </w:tcPr>
          <w:p w14:paraId="1EF73DBE" w14:textId="77777777" w:rsidR="001D65C1" w:rsidRPr="00BE4490" w:rsidRDefault="001D65C1" w:rsidP="00CE24A9">
            <w:pPr>
              <w:pStyle w:val="TableHeading"/>
              <w:rPr>
                <w:color w:val="00B050"/>
              </w:rPr>
            </w:pPr>
            <w:r w:rsidRPr="00BE4490">
              <w:rPr>
                <w:color w:val="00B050"/>
              </w:rPr>
              <w:t>Test Standard</w:t>
            </w:r>
          </w:p>
        </w:tc>
        <w:tc>
          <w:tcPr>
            <w:tcW w:w="1980" w:type="dxa"/>
            <w:tcBorders>
              <w:top w:val="single" w:sz="8" w:space="0" w:color="000000"/>
              <w:left w:val="single" w:sz="10" w:space="0" w:color="000000"/>
              <w:bottom w:val="single" w:sz="8" w:space="0" w:color="000000"/>
              <w:right w:val="single" w:sz="10" w:space="0" w:color="000000"/>
            </w:tcBorders>
            <w:shd w:val="clear" w:color="auto" w:fill="auto"/>
            <w:vAlign w:val="bottom"/>
          </w:tcPr>
          <w:p w14:paraId="0E086FE1" w14:textId="77777777" w:rsidR="001D65C1" w:rsidRPr="00BE4490" w:rsidRDefault="001D65C1" w:rsidP="00CE24A9">
            <w:pPr>
              <w:pStyle w:val="TableHeading"/>
              <w:rPr>
                <w:color w:val="00B050"/>
              </w:rPr>
            </w:pPr>
            <w:r w:rsidRPr="00BE4490">
              <w:rPr>
                <w:color w:val="00B050"/>
              </w:rPr>
              <w:t>Frequency</w:t>
            </w:r>
          </w:p>
        </w:tc>
        <w:tc>
          <w:tcPr>
            <w:tcW w:w="1980" w:type="dxa"/>
            <w:tcBorders>
              <w:top w:val="single" w:sz="8" w:space="0" w:color="000000"/>
              <w:left w:val="single" w:sz="10" w:space="0" w:color="000000"/>
              <w:bottom w:val="single" w:sz="8" w:space="0" w:color="000000"/>
              <w:right w:val="single" w:sz="10" w:space="0" w:color="000000"/>
            </w:tcBorders>
            <w:shd w:val="clear" w:color="auto" w:fill="auto"/>
            <w:vAlign w:val="bottom"/>
          </w:tcPr>
          <w:p w14:paraId="74B8B3A5" w14:textId="77777777" w:rsidR="001D65C1" w:rsidRPr="00BE4490" w:rsidRDefault="001D65C1" w:rsidP="00CE24A9">
            <w:pPr>
              <w:pStyle w:val="TableHeading"/>
              <w:rPr>
                <w:color w:val="00B050"/>
              </w:rPr>
            </w:pPr>
            <w:r w:rsidRPr="00BE4490">
              <w:rPr>
                <w:color w:val="00B050"/>
              </w:rPr>
              <w:t>Sample Location</w:t>
            </w:r>
          </w:p>
        </w:tc>
        <w:tc>
          <w:tcPr>
            <w:tcW w:w="1980" w:type="dxa"/>
            <w:tcBorders>
              <w:top w:val="single" w:sz="8" w:space="0" w:color="000000"/>
              <w:left w:val="single" w:sz="10" w:space="0" w:color="000000"/>
              <w:bottom w:val="single" w:sz="8" w:space="0" w:color="000000"/>
              <w:right w:val="single" w:sz="8" w:space="0" w:color="000000"/>
            </w:tcBorders>
            <w:shd w:val="clear" w:color="auto" w:fill="auto"/>
            <w:vAlign w:val="bottom"/>
          </w:tcPr>
          <w:p w14:paraId="6CD0C7E3" w14:textId="77777777" w:rsidR="001D65C1" w:rsidRPr="00BE4490" w:rsidRDefault="001D65C1" w:rsidP="00CE24A9">
            <w:pPr>
              <w:pStyle w:val="TableHeading"/>
              <w:rPr>
                <w:color w:val="00B050"/>
              </w:rPr>
            </w:pPr>
            <w:r w:rsidRPr="00BE4490">
              <w:rPr>
                <w:color w:val="00B050"/>
              </w:rPr>
              <w:t>Contractor</w:t>
            </w:r>
            <w:r>
              <w:rPr>
                <w:color w:val="00B050"/>
              </w:rPr>
              <w:br/>
            </w:r>
            <w:r w:rsidRPr="00BE4490">
              <w:rPr>
                <w:color w:val="00B050"/>
              </w:rPr>
              <w:t>Responsibility</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0912E8D" w14:textId="77777777" w:rsidR="001D65C1" w:rsidRPr="00BE4490" w:rsidRDefault="001D65C1" w:rsidP="00CE24A9">
            <w:pPr>
              <w:pStyle w:val="TableHeading"/>
              <w:rPr>
                <w:color w:val="00B050"/>
              </w:rPr>
            </w:pPr>
            <w:r w:rsidRPr="00BE4490">
              <w:rPr>
                <w:color w:val="00B050"/>
              </w:rPr>
              <w:t>Attribute or Tolerance</w:t>
            </w:r>
          </w:p>
        </w:tc>
      </w:tr>
      <w:tr w:rsidR="001D65C1" w:rsidRPr="00A23B02" w14:paraId="69B65235" w14:textId="77777777" w:rsidTr="00CE24A9">
        <w:trPr>
          <w:cantSplit/>
          <w:trHeight w:val="58"/>
        </w:trPr>
        <w:tc>
          <w:tcPr>
            <w:tcW w:w="12960" w:type="dxa"/>
            <w:gridSpan w:val="7"/>
            <w:tcBorders>
              <w:top w:val="single" w:sz="8" w:space="0" w:color="000000"/>
              <w:left w:val="single" w:sz="8" w:space="0" w:color="000000"/>
              <w:right w:val="single" w:sz="4" w:space="0" w:color="auto"/>
            </w:tcBorders>
          </w:tcPr>
          <w:p w14:paraId="11C26556" w14:textId="77777777" w:rsidR="001D65C1" w:rsidRPr="00BE4490" w:rsidRDefault="001D65C1" w:rsidP="00CE24A9">
            <w:pPr>
              <w:pStyle w:val="TableHeading"/>
              <w:rPr>
                <w:color w:val="00B050"/>
              </w:rPr>
            </w:pPr>
            <w:r w:rsidRPr="00BE4490">
              <w:rPr>
                <w:color w:val="00B050"/>
              </w:rPr>
              <w:t>Plant Operations</w:t>
            </w:r>
          </w:p>
        </w:tc>
      </w:tr>
      <w:tr w:rsidR="001D65C1" w:rsidRPr="00A23B02" w14:paraId="1C839E9F" w14:textId="77777777" w:rsidTr="00CE24A9">
        <w:trPr>
          <w:cantSplit/>
          <w:trHeight w:val="58"/>
        </w:trPr>
        <w:tc>
          <w:tcPr>
            <w:tcW w:w="3239" w:type="dxa"/>
            <w:vMerge w:val="restart"/>
            <w:tcBorders>
              <w:top w:val="single" w:sz="8" w:space="0" w:color="000000"/>
              <w:left w:val="single" w:sz="8" w:space="0" w:color="000000"/>
              <w:right w:val="single" w:sz="6" w:space="0" w:color="000000"/>
            </w:tcBorders>
          </w:tcPr>
          <w:p w14:paraId="127C9D6A" w14:textId="77777777" w:rsidR="001D65C1" w:rsidRPr="00A23B02" w:rsidRDefault="001D65C1" w:rsidP="00CE24A9">
            <w:pPr>
              <w:pStyle w:val="TableText"/>
            </w:pPr>
            <w:r w:rsidRPr="00BE4490">
              <w:rPr>
                <w:color w:val="00B050"/>
              </w:rPr>
              <w:t>Aggregate Gradation</w:t>
            </w:r>
          </w:p>
        </w:tc>
        <w:tc>
          <w:tcPr>
            <w:tcW w:w="1431" w:type="dxa"/>
            <w:vMerge w:val="restart"/>
            <w:tcBorders>
              <w:top w:val="single" w:sz="8" w:space="0" w:color="000000"/>
              <w:left w:val="single" w:sz="6" w:space="0" w:color="000000"/>
              <w:right w:val="single" w:sz="10" w:space="0" w:color="000000"/>
            </w:tcBorders>
          </w:tcPr>
          <w:p w14:paraId="51AF9D09" w14:textId="77777777" w:rsidR="001D65C1" w:rsidRPr="00A23B02" w:rsidRDefault="001D65C1" w:rsidP="00CE24A9">
            <w:pPr>
              <w:pStyle w:val="TableText"/>
              <w:jc w:val="center"/>
              <w:rPr>
                <w:rFonts w:cs="Arial"/>
                <w:color w:val="00B050"/>
                <w:szCs w:val="18"/>
              </w:rPr>
            </w:pPr>
            <w:r w:rsidRPr="00BE4490">
              <w:rPr>
                <w:rFonts w:cs="Arial"/>
                <w:color w:val="00B050"/>
                <w:szCs w:val="18"/>
              </w:rPr>
              <w:t>CT 202</w:t>
            </w:r>
          </w:p>
        </w:tc>
        <w:tc>
          <w:tcPr>
            <w:tcW w:w="1980" w:type="dxa"/>
            <w:vMerge w:val="restart"/>
            <w:tcBorders>
              <w:top w:val="single" w:sz="8" w:space="0" w:color="000000"/>
              <w:left w:val="single" w:sz="10" w:space="0" w:color="000000"/>
              <w:right w:val="single" w:sz="10" w:space="0" w:color="000000"/>
            </w:tcBorders>
          </w:tcPr>
          <w:p w14:paraId="59283E94" w14:textId="77777777"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vMerge w:val="restart"/>
            <w:tcBorders>
              <w:top w:val="single" w:sz="8" w:space="0" w:color="000000"/>
              <w:left w:val="single" w:sz="10" w:space="0" w:color="000000"/>
              <w:right w:val="single" w:sz="10" w:space="0" w:color="000000"/>
            </w:tcBorders>
          </w:tcPr>
          <w:p w14:paraId="77F5AB93"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vMerge w:val="restart"/>
            <w:tcBorders>
              <w:top w:val="single" w:sz="8" w:space="0" w:color="000000"/>
              <w:left w:val="single" w:sz="10" w:space="0" w:color="000000"/>
              <w:right w:val="single" w:sz="8" w:space="0" w:color="000000"/>
            </w:tcBorders>
          </w:tcPr>
          <w:p w14:paraId="26C41141"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1175" w:type="dxa"/>
            <w:tcBorders>
              <w:top w:val="single" w:sz="6" w:space="0" w:color="auto"/>
              <w:left w:val="single" w:sz="4" w:space="0" w:color="auto"/>
              <w:bottom w:val="single" w:sz="6" w:space="0" w:color="auto"/>
              <w:right w:val="single" w:sz="6" w:space="0" w:color="auto"/>
            </w:tcBorders>
            <w:shd w:val="clear" w:color="auto" w:fill="auto"/>
          </w:tcPr>
          <w:p w14:paraId="4AD69EFD" w14:textId="77777777" w:rsidR="001D65C1" w:rsidRPr="00A23B02" w:rsidRDefault="001D65C1" w:rsidP="00CE24A9">
            <w:pPr>
              <w:pStyle w:val="TableText"/>
              <w:jc w:val="center"/>
              <w:rPr>
                <w:rFonts w:cs="Arial"/>
                <w:color w:val="00B050"/>
                <w:szCs w:val="18"/>
              </w:rPr>
            </w:pPr>
            <w:r w:rsidRPr="00BE4490">
              <w:rPr>
                <w:rFonts w:cs="Arial"/>
                <w:color w:val="00B050"/>
                <w:szCs w:val="18"/>
              </w:rPr>
              <w:t>1/2"</w:t>
            </w:r>
          </w:p>
        </w:tc>
        <w:tc>
          <w:tcPr>
            <w:tcW w:w="1175" w:type="dxa"/>
            <w:tcBorders>
              <w:top w:val="single" w:sz="6" w:space="0" w:color="auto"/>
              <w:left w:val="single" w:sz="4" w:space="0" w:color="auto"/>
              <w:bottom w:val="single" w:sz="6" w:space="0" w:color="auto"/>
              <w:right w:val="single" w:sz="4" w:space="0" w:color="auto"/>
            </w:tcBorders>
            <w:shd w:val="clear" w:color="auto" w:fill="auto"/>
          </w:tcPr>
          <w:p w14:paraId="269E287A" w14:textId="77777777" w:rsidR="001D65C1" w:rsidRPr="00A23B02" w:rsidRDefault="001D65C1" w:rsidP="00CE24A9">
            <w:pPr>
              <w:pStyle w:val="TableText"/>
              <w:jc w:val="center"/>
              <w:rPr>
                <w:rFonts w:cs="Arial"/>
                <w:color w:val="00B050"/>
                <w:szCs w:val="18"/>
              </w:rPr>
            </w:pPr>
            <w:r w:rsidRPr="00BE4490">
              <w:rPr>
                <w:rFonts w:cs="Arial"/>
                <w:color w:val="00B050"/>
                <w:szCs w:val="18"/>
              </w:rPr>
              <w:t>TV ± 6</w:t>
            </w:r>
          </w:p>
        </w:tc>
      </w:tr>
      <w:tr w:rsidR="001D65C1" w:rsidRPr="00A23B02" w14:paraId="67B7FA64" w14:textId="77777777" w:rsidTr="00CE24A9">
        <w:trPr>
          <w:cantSplit/>
          <w:trHeight w:val="56"/>
        </w:trPr>
        <w:tc>
          <w:tcPr>
            <w:tcW w:w="3239" w:type="dxa"/>
            <w:vMerge/>
            <w:tcBorders>
              <w:left w:val="single" w:sz="8" w:space="0" w:color="000000"/>
              <w:right w:val="single" w:sz="6" w:space="0" w:color="000000"/>
            </w:tcBorders>
          </w:tcPr>
          <w:p w14:paraId="00690C7D" w14:textId="77777777"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14:paraId="5910B8E7"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7192572C"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162738BC"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14:paraId="79B8409C" w14:textId="77777777"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14:paraId="2C93A958" w14:textId="77777777" w:rsidR="001D65C1" w:rsidRPr="00A23B02" w:rsidRDefault="001D65C1" w:rsidP="00CE24A9">
            <w:pPr>
              <w:pStyle w:val="TableText"/>
              <w:jc w:val="center"/>
              <w:rPr>
                <w:rFonts w:cs="Arial"/>
                <w:color w:val="00B050"/>
                <w:szCs w:val="18"/>
              </w:rPr>
            </w:pPr>
            <w:r w:rsidRPr="00BE4490">
              <w:rPr>
                <w:rFonts w:cs="Arial"/>
                <w:color w:val="00B050"/>
                <w:szCs w:val="18"/>
              </w:rPr>
              <w:t>3/8"</w:t>
            </w:r>
          </w:p>
        </w:tc>
        <w:tc>
          <w:tcPr>
            <w:tcW w:w="1175" w:type="dxa"/>
            <w:tcBorders>
              <w:top w:val="single" w:sz="6" w:space="0" w:color="auto"/>
              <w:left w:val="single" w:sz="4" w:space="0" w:color="auto"/>
              <w:bottom w:val="single" w:sz="6" w:space="0" w:color="auto"/>
              <w:right w:val="single" w:sz="4" w:space="0" w:color="auto"/>
            </w:tcBorders>
            <w:shd w:val="clear" w:color="auto" w:fill="auto"/>
          </w:tcPr>
          <w:p w14:paraId="37D4546F" w14:textId="77777777" w:rsidR="001D65C1" w:rsidRPr="00A23B02" w:rsidRDefault="001D65C1" w:rsidP="00CE24A9">
            <w:pPr>
              <w:pStyle w:val="TableText"/>
              <w:jc w:val="center"/>
              <w:rPr>
                <w:rFonts w:cs="Arial"/>
                <w:color w:val="00B050"/>
                <w:szCs w:val="18"/>
              </w:rPr>
            </w:pPr>
            <w:r w:rsidRPr="00BE4490">
              <w:rPr>
                <w:rFonts w:cs="Arial"/>
                <w:color w:val="00B050"/>
                <w:szCs w:val="18"/>
              </w:rPr>
              <w:t>TV ± 6</w:t>
            </w:r>
          </w:p>
        </w:tc>
      </w:tr>
      <w:tr w:rsidR="001D65C1" w:rsidRPr="00A23B02" w14:paraId="398F4769" w14:textId="77777777" w:rsidTr="00CE24A9">
        <w:trPr>
          <w:cantSplit/>
          <w:trHeight w:val="56"/>
        </w:trPr>
        <w:tc>
          <w:tcPr>
            <w:tcW w:w="3239" w:type="dxa"/>
            <w:vMerge/>
            <w:tcBorders>
              <w:left w:val="single" w:sz="8" w:space="0" w:color="000000"/>
              <w:right w:val="single" w:sz="6" w:space="0" w:color="000000"/>
            </w:tcBorders>
          </w:tcPr>
          <w:p w14:paraId="180DC6E4" w14:textId="77777777"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14:paraId="6393D644"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398FECCF"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617C8F93"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14:paraId="029CD418" w14:textId="77777777"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14:paraId="55816074" w14:textId="77777777" w:rsidR="001D65C1" w:rsidRPr="00A23B02" w:rsidRDefault="001D65C1" w:rsidP="00CE24A9">
            <w:pPr>
              <w:pStyle w:val="TableText"/>
              <w:jc w:val="center"/>
              <w:rPr>
                <w:rFonts w:cs="Arial"/>
                <w:color w:val="00B050"/>
                <w:szCs w:val="18"/>
              </w:rPr>
            </w:pPr>
            <w:r w:rsidRPr="00BE4490">
              <w:rPr>
                <w:rFonts w:cs="Arial"/>
                <w:color w:val="00B050"/>
                <w:szCs w:val="18"/>
              </w:rPr>
              <w:t>No. 4</w:t>
            </w:r>
          </w:p>
        </w:tc>
        <w:tc>
          <w:tcPr>
            <w:tcW w:w="1175" w:type="dxa"/>
            <w:tcBorders>
              <w:top w:val="single" w:sz="6" w:space="0" w:color="auto"/>
              <w:left w:val="single" w:sz="4" w:space="0" w:color="auto"/>
              <w:bottom w:val="single" w:sz="6" w:space="0" w:color="auto"/>
              <w:right w:val="single" w:sz="4" w:space="0" w:color="auto"/>
            </w:tcBorders>
            <w:shd w:val="clear" w:color="auto" w:fill="auto"/>
          </w:tcPr>
          <w:p w14:paraId="5F5E23C6" w14:textId="77777777" w:rsidR="001D65C1" w:rsidRPr="00A23B02" w:rsidRDefault="001D65C1" w:rsidP="00CE24A9">
            <w:pPr>
              <w:pStyle w:val="TableText"/>
              <w:jc w:val="center"/>
              <w:rPr>
                <w:rFonts w:cs="Arial"/>
                <w:color w:val="00B050"/>
                <w:szCs w:val="18"/>
              </w:rPr>
            </w:pPr>
            <w:r w:rsidRPr="00BE4490">
              <w:rPr>
                <w:rFonts w:cs="Arial"/>
                <w:color w:val="00B050"/>
                <w:szCs w:val="18"/>
              </w:rPr>
              <w:t>TV ± 7</w:t>
            </w:r>
          </w:p>
        </w:tc>
      </w:tr>
      <w:tr w:rsidR="001D65C1" w:rsidRPr="00A23B02" w14:paraId="7B6AAB9C" w14:textId="77777777" w:rsidTr="00CE24A9">
        <w:trPr>
          <w:cantSplit/>
          <w:trHeight w:val="56"/>
        </w:trPr>
        <w:tc>
          <w:tcPr>
            <w:tcW w:w="3239" w:type="dxa"/>
            <w:vMerge/>
            <w:tcBorders>
              <w:left w:val="single" w:sz="8" w:space="0" w:color="000000"/>
              <w:right w:val="single" w:sz="6" w:space="0" w:color="000000"/>
            </w:tcBorders>
          </w:tcPr>
          <w:p w14:paraId="48B350E0" w14:textId="77777777"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14:paraId="22327107"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0426D03F"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600FA4ED"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14:paraId="53370019" w14:textId="77777777"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14:paraId="000B9D6C" w14:textId="77777777" w:rsidR="001D65C1" w:rsidRPr="00A23B02" w:rsidRDefault="001D65C1" w:rsidP="00CE24A9">
            <w:pPr>
              <w:pStyle w:val="TableText"/>
              <w:jc w:val="center"/>
              <w:rPr>
                <w:rFonts w:cs="Arial"/>
                <w:color w:val="00B050"/>
                <w:szCs w:val="18"/>
              </w:rPr>
            </w:pPr>
            <w:r w:rsidRPr="00BE4490">
              <w:rPr>
                <w:rFonts w:cs="Arial"/>
                <w:color w:val="00B050"/>
                <w:szCs w:val="18"/>
              </w:rPr>
              <w:t>No. 8</w:t>
            </w:r>
          </w:p>
        </w:tc>
        <w:tc>
          <w:tcPr>
            <w:tcW w:w="1175" w:type="dxa"/>
            <w:tcBorders>
              <w:top w:val="single" w:sz="6" w:space="0" w:color="auto"/>
              <w:left w:val="single" w:sz="4" w:space="0" w:color="auto"/>
              <w:bottom w:val="single" w:sz="6" w:space="0" w:color="auto"/>
              <w:right w:val="single" w:sz="4" w:space="0" w:color="auto"/>
            </w:tcBorders>
            <w:shd w:val="clear" w:color="auto" w:fill="auto"/>
          </w:tcPr>
          <w:p w14:paraId="58A2DFA5" w14:textId="77777777" w:rsidR="001D65C1" w:rsidRPr="00A23B02" w:rsidRDefault="001D65C1" w:rsidP="00CE24A9">
            <w:pPr>
              <w:pStyle w:val="TableText"/>
              <w:jc w:val="center"/>
              <w:rPr>
                <w:rFonts w:cs="Arial"/>
                <w:color w:val="00B050"/>
                <w:szCs w:val="18"/>
              </w:rPr>
            </w:pPr>
            <w:r w:rsidRPr="00BE4490">
              <w:rPr>
                <w:rFonts w:cs="Arial"/>
                <w:color w:val="00B050"/>
                <w:szCs w:val="18"/>
              </w:rPr>
              <w:t>TV ± 5</w:t>
            </w:r>
          </w:p>
        </w:tc>
      </w:tr>
      <w:tr w:rsidR="001D65C1" w:rsidRPr="00A23B02" w14:paraId="67045450" w14:textId="77777777" w:rsidTr="00CE24A9">
        <w:trPr>
          <w:cantSplit/>
          <w:trHeight w:val="56"/>
        </w:trPr>
        <w:tc>
          <w:tcPr>
            <w:tcW w:w="3239" w:type="dxa"/>
            <w:vMerge/>
            <w:tcBorders>
              <w:left w:val="single" w:sz="8" w:space="0" w:color="000000"/>
              <w:right w:val="single" w:sz="6" w:space="0" w:color="000000"/>
            </w:tcBorders>
          </w:tcPr>
          <w:p w14:paraId="46467203" w14:textId="77777777"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14:paraId="1790BE20"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26DA8DB8"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297B993F"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14:paraId="05B2D1B8" w14:textId="77777777"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14:paraId="38242C6D" w14:textId="77777777" w:rsidR="001D65C1" w:rsidRPr="00A23B02" w:rsidRDefault="001D65C1" w:rsidP="00CE24A9">
            <w:pPr>
              <w:pStyle w:val="TableText"/>
              <w:jc w:val="center"/>
              <w:rPr>
                <w:rFonts w:cs="Arial"/>
                <w:color w:val="00B050"/>
                <w:szCs w:val="18"/>
              </w:rPr>
            </w:pPr>
            <w:r w:rsidRPr="00BE4490">
              <w:rPr>
                <w:rFonts w:cs="Arial"/>
                <w:color w:val="00B050"/>
                <w:szCs w:val="18"/>
              </w:rPr>
              <w:t>No. 30</w:t>
            </w:r>
          </w:p>
        </w:tc>
        <w:tc>
          <w:tcPr>
            <w:tcW w:w="1175" w:type="dxa"/>
            <w:tcBorders>
              <w:top w:val="single" w:sz="6" w:space="0" w:color="auto"/>
              <w:left w:val="single" w:sz="4" w:space="0" w:color="auto"/>
              <w:bottom w:val="single" w:sz="6" w:space="0" w:color="auto"/>
              <w:right w:val="single" w:sz="4" w:space="0" w:color="auto"/>
            </w:tcBorders>
            <w:shd w:val="clear" w:color="auto" w:fill="auto"/>
          </w:tcPr>
          <w:p w14:paraId="5EC92E5B" w14:textId="77777777" w:rsidR="001D65C1" w:rsidRPr="00A23B02" w:rsidRDefault="001D65C1" w:rsidP="00CE24A9">
            <w:pPr>
              <w:pStyle w:val="TableText"/>
              <w:jc w:val="center"/>
              <w:rPr>
                <w:rFonts w:cs="Arial"/>
                <w:color w:val="00B050"/>
                <w:szCs w:val="18"/>
              </w:rPr>
            </w:pPr>
            <w:r w:rsidRPr="00BE4490">
              <w:rPr>
                <w:rFonts w:cs="Arial"/>
                <w:color w:val="00B050"/>
                <w:szCs w:val="18"/>
              </w:rPr>
              <w:t>TV ± 4</w:t>
            </w:r>
          </w:p>
        </w:tc>
      </w:tr>
      <w:tr w:rsidR="001D65C1" w:rsidRPr="00A23B02" w14:paraId="407210C6" w14:textId="77777777" w:rsidTr="00CE24A9">
        <w:trPr>
          <w:cantSplit/>
          <w:trHeight w:val="56"/>
        </w:trPr>
        <w:tc>
          <w:tcPr>
            <w:tcW w:w="3239" w:type="dxa"/>
            <w:vMerge/>
            <w:tcBorders>
              <w:left w:val="single" w:sz="8" w:space="0" w:color="000000"/>
              <w:right w:val="single" w:sz="6" w:space="0" w:color="000000"/>
            </w:tcBorders>
          </w:tcPr>
          <w:p w14:paraId="2C23798C" w14:textId="77777777"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14:paraId="67FACCB2"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1B8BA487"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14:paraId="57339D0B" w14:textId="77777777"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14:paraId="721C8C34" w14:textId="77777777"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4" w:space="0" w:color="auto"/>
              <w:right w:val="single" w:sz="6" w:space="0" w:color="auto"/>
            </w:tcBorders>
            <w:shd w:val="clear" w:color="auto" w:fill="auto"/>
          </w:tcPr>
          <w:p w14:paraId="4C3BA598" w14:textId="77777777" w:rsidR="001D65C1" w:rsidRPr="00A23B02" w:rsidRDefault="001D65C1" w:rsidP="00CE24A9">
            <w:pPr>
              <w:pStyle w:val="TableText"/>
              <w:jc w:val="center"/>
              <w:rPr>
                <w:rFonts w:cs="Arial"/>
                <w:color w:val="00B050"/>
                <w:szCs w:val="18"/>
              </w:rPr>
            </w:pPr>
            <w:r w:rsidRPr="00BE4490">
              <w:rPr>
                <w:rFonts w:cs="Arial"/>
                <w:color w:val="00B050"/>
                <w:szCs w:val="18"/>
              </w:rPr>
              <w:t>No. 200</w:t>
            </w:r>
          </w:p>
        </w:tc>
        <w:tc>
          <w:tcPr>
            <w:tcW w:w="1175" w:type="dxa"/>
            <w:tcBorders>
              <w:top w:val="single" w:sz="6" w:space="0" w:color="auto"/>
              <w:left w:val="single" w:sz="4" w:space="0" w:color="auto"/>
              <w:bottom w:val="single" w:sz="4" w:space="0" w:color="auto"/>
              <w:right w:val="single" w:sz="4" w:space="0" w:color="auto"/>
            </w:tcBorders>
            <w:shd w:val="clear" w:color="auto" w:fill="auto"/>
          </w:tcPr>
          <w:p w14:paraId="274C980E" w14:textId="77777777" w:rsidR="001D65C1" w:rsidRPr="00A23B02" w:rsidRDefault="001D65C1" w:rsidP="00CE24A9">
            <w:pPr>
              <w:pStyle w:val="TableText"/>
              <w:jc w:val="center"/>
              <w:rPr>
                <w:rFonts w:cs="Arial"/>
                <w:color w:val="00B050"/>
                <w:szCs w:val="18"/>
              </w:rPr>
            </w:pPr>
            <w:r w:rsidRPr="00BE4490">
              <w:rPr>
                <w:rFonts w:cs="Arial"/>
                <w:color w:val="00B050"/>
                <w:szCs w:val="18"/>
              </w:rPr>
              <w:t>TV ± 2</w:t>
            </w:r>
          </w:p>
        </w:tc>
      </w:tr>
      <w:tr w:rsidR="001D65C1" w:rsidRPr="00A23B02" w14:paraId="75AE17AE"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72FA64E7" w14:textId="77777777" w:rsidR="001D65C1" w:rsidRPr="0050213E" w:rsidRDefault="001D65C1" w:rsidP="00CE24A9">
            <w:pPr>
              <w:pStyle w:val="TableText"/>
            </w:pPr>
            <w:r w:rsidRPr="00BE4490">
              <w:rPr>
                <w:color w:val="00B050"/>
              </w:rPr>
              <w:t xml:space="preserve">Asphalt Binder Content </w:t>
            </w:r>
          </w:p>
        </w:tc>
        <w:tc>
          <w:tcPr>
            <w:tcW w:w="1431" w:type="dxa"/>
            <w:tcBorders>
              <w:top w:val="single" w:sz="8" w:space="0" w:color="000000"/>
              <w:left w:val="single" w:sz="6" w:space="0" w:color="000000"/>
              <w:bottom w:val="single" w:sz="8" w:space="0" w:color="000000"/>
              <w:right w:val="single" w:sz="10" w:space="0" w:color="000000"/>
            </w:tcBorders>
          </w:tcPr>
          <w:p w14:paraId="0AFDDE1E" w14:textId="77777777" w:rsidR="001D65C1" w:rsidRPr="0050213E" w:rsidRDefault="001D65C1" w:rsidP="00CE24A9">
            <w:pPr>
              <w:pStyle w:val="TableText"/>
              <w:jc w:val="center"/>
              <w:rPr>
                <w:rFonts w:cs="Arial"/>
                <w:color w:val="00B050"/>
                <w:szCs w:val="18"/>
              </w:rPr>
            </w:pPr>
            <w:r w:rsidRPr="00BE4490">
              <w:rPr>
                <w:rFonts w:cs="Arial"/>
                <w:color w:val="00B050"/>
                <w:szCs w:val="18"/>
              </w:rPr>
              <w:t>CT 382</w:t>
            </w:r>
          </w:p>
        </w:tc>
        <w:tc>
          <w:tcPr>
            <w:tcW w:w="1980" w:type="dxa"/>
            <w:tcBorders>
              <w:top w:val="single" w:sz="8" w:space="0" w:color="000000"/>
              <w:left w:val="single" w:sz="10" w:space="0" w:color="000000"/>
              <w:bottom w:val="single" w:sz="8" w:space="0" w:color="000000"/>
              <w:right w:val="single" w:sz="10" w:space="0" w:color="000000"/>
            </w:tcBorders>
          </w:tcPr>
          <w:p w14:paraId="483EE377" w14:textId="77777777" w:rsidR="001D65C1" w:rsidRPr="0050213E"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2FA91968" w14:textId="77777777" w:rsidR="001D65C1" w:rsidRPr="0050213E"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14:paraId="05408812" w14:textId="77777777" w:rsidR="001D65C1" w:rsidRPr="0050213E"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14:paraId="17B0D37D" w14:textId="77777777" w:rsidR="001D65C1" w:rsidRPr="0050213E" w:rsidRDefault="001D65C1" w:rsidP="00CE24A9">
            <w:pPr>
              <w:pStyle w:val="TableText"/>
              <w:jc w:val="center"/>
              <w:rPr>
                <w:rFonts w:cs="Arial"/>
                <w:color w:val="00B050"/>
                <w:szCs w:val="18"/>
              </w:rPr>
            </w:pPr>
            <w:r w:rsidRPr="00BE4490">
              <w:rPr>
                <w:rFonts w:cs="Arial"/>
                <w:color w:val="00B050"/>
                <w:szCs w:val="18"/>
              </w:rPr>
              <w:t>Design ± 0.5%</w:t>
            </w:r>
          </w:p>
        </w:tc>
      </w:tr>
      <w:tr w:rsidR="001D65C1" w:rsidRPr="00A23B02" w14:paraId="20BDC212" w14:textId="77777777" w:rsidTr="00CE24A9">
        <w:trPr>
          <w:cantSplit/>
          <w:trHeight w:val="266"/>
        </w:trPr>
        <w:tc>
          <w:tcPr>
            <w:tcW w:w="3239" w:type="dxa"/>
            <w:tcBorders>
              <w:top w:val="single" w:sz="8" w:space="0" w:color="000000"/>
              <w:left w:val="single" w:sz="8" w:space="0" w:color="000000"/>
              <w:bottom w:val="nil"/>
              <w:right w:val="single" w:sz="6" w:space="0" w:color="000000"/>
            </w:tcBorders>
          </w:tcPr>
          <w:p w14:paraId="32CF7409" w14:textId="77777777" w:rsidR="001D65C1" w:rsidRPr="00BE4490" w:rsidRDefault="001D65C1" w:rsidP="00CE24A9">
            <w:pPr>
              <w:pStyle w:val="TableText"/>
              <w:rPr>
                <w:color w:val="00B050"/>
              </w:rPr>
            </w:pPr>
            <w:r w:rsidRPr="00BE4490">
              <w:rPr>
                <w:color w:val="00B050"/>
              </w:rPr>
              <w:t>Percent of crushed particles coarse aggregate (%, min)</w:t>
            </w:r>
          </w:p>
        </w:tc>
        <w:tc>
          <w:tcPr>
            <w:tcW w:w="1431" w:type="dxa"/>
            <w:tcBorders>
              <w:top w:val="single" w:sz="8" w:space="0" w:color="000000"/>
              <w:left w:val="single" w:sz="6" w:space="0" w:color="000000"/>
              <w:bottom w:val="nil"/>
              <w:right w:val="single" w:sz="10" w:space="0" w:color="000000"/>
            </w:tcBorders>
          </w:tcPr>
          <w:p w14:paraId="5BA340A1" w14:textId="77777777" w:rsidR="001D65C1" w:rsidRPr="00A23B02" w:rsidRDefault="001D65C1" w:rsidP="00CE24A9">
            <w:pPr>
              <w:pStyle w:val="TableText"/>
              <w:jc w:val="center"/>
              <w:rPr>
                <w:rFonts w:cs="Arial"/>
                <w:color w:val="00B050"/>
                <w:szCs w:val="18"/>
              </w:rPr>
            </w:pPr>
            <w:r w:rsidRPr="00BE4490">
              <w:rPr>
                <w:rFonts w:cs="Arial"/>
                <w:color w:val="00B050"/>
                <w:szCs w:val="18"/>
              </w:rPr>
              <w:t>CT 205</w:t>
            </w:r>
          </w:p>
        </w:tc>
        <w:tc>
          <w:tcPr>
            <w:tcW w:w="1980" w:type="dxa"/>
            <w:tcBorders>
              <w:top w:val="single" w:sz="8" w:space="0" w:color="000000"/>
              <w:left w:val="single" w:sz="10" w:space="0" w:color="000000"/>
              <w:bottom w:val="nil"/>
              <w:right w:val="single" w:sz="10" w:space="0" w:color="000000"/>
            </w:tcBorders>
          </w:tcPr>
          <w:p w14:paraId="20F345A5" w14:textId="77777777"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nil"/>
              <w:right w:val="single" w:sz="10" w:space="0" w:color="000000"/>
            </w:tcBorders>
          </w:tcPr>
          <w:p w14:paraId="2FC386A9"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nil"/>
              <w:right w:val="single" w:sz="8" w:space="0" w:color="000000"/>
            </w:tcBorders>
          </w:tcPr>
          <w:p w14:paraId="7B11D250"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nil"/>
              <w:right w:val="single" w:sz="8" w:space="0" w:color="000000"/>
            </w:tcBorders>
          </w:tcPr>
          <w:p w14:paraId="75BE4DDB" w14:textId="77777777" w:rsidR="001D65C1" w:rsidRPr="00A23B02" w:rsidRDefault="001D65C1" w:rsidP="00CE24A9">
            <w:pPr>
              <w:pStyle w:val="TableText"/>
              <w:jc w:val="center"/>
              <w:rPr>
                <w:rFonts w:cs="Arial"/>
                <w:color w:val="00B050"/>
                <w:szCs w:val="18"/>
              </w:rPr>
            </w:pPr>
          </w:p>
        </w:tc>
      </w:tr>
      <w:tr w:rsidR="001D65C1" w:rsidRPr="00A23B02" w14:paraId="2F8E617A" w14:textId="77777777" w:rsidTr="00CE24A9">
        <w:trPr>
          <w:cantSplit/>
          <w:trHeight w:val="266"/>
        </w:trPr>
        <w:tc>
          <w:tcPr>
            <w:tcW w:w="3239" w:type="dxa"/>
            <w:tcBorders>
              <w:top w:val="nil"/>
              <w:left w:val="single" w:sz="8" w:space="0" w:color="000000"/>
              <w:bottom w:val="nil"/>
              <w:right w:val="single" w:sz="6" w:space="0" w:color="000000"/>
            </w:tcBorders>
          </w:tcPr>
          <w:p w14:paraId="2ACAFB97" w14:textId="77777777" w:rsidR="001D65C1" w:rsidRPr="00BE4490" w:rsidRDefault="001D65C1" w:rsidP="00CE24A9">
            <w:pPr>
              <w:pStyle w:val="TableText"/>
              <w:ind w:left="342"/>
              <w:rPr>
                <w:color w:val="00B050"/>
              </w:rPr>
            </w:pPr>
            <w:r w:rsidRPr="00BE4490">
              <w:rPr>
                <w:color w:val="00B050"/>
              </w:rPr>
              <w:t>One fractured face</w:t>
            </w:r>
          </w:p>
        </w:tc>
        <w:tc>
          <w:tcPr>
            <w:tcW w:w="1431" w:type="dxa"/>
            <w:tcBorders>
              <w:top w:val="nil"/>
              <w:left w:val="single" w:sz="6" w:space="0" w:color="000000"/>
              <w:bottom w:val="nil"/>
              <w:right w:val="single" w:sz="10" w:space="0" w:color="000000"/>
            </w:tcBorders>
          </w:tcPr>
          <w:p w14:paraId="48229B88"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72B59BC7"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3C26064C"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14:paraId="19CC65C2"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14:paraId="51687647" w14:textId="77777777" w:rsidR="001D65C1" w:rsidRPr="00BE4490" w:rsidRDefault="001D65C1" w:rsidP="00CE24A9">
            <w:pPr>
              <w:pStyle w:val="TableText"/>
              <w:jc w:val="center"/>
              <w:rPr>
                <w:rFonts w:cs="Arial"/>
                <w:color w:val="00B050"/>
                <w:szCs w:val="18"/>
              </w:rPr>
            </w:pPr>
            <w:r>
              <w:rPr>
                <w:rFonts w:cs="Arial"/>
                <w:color w:val="00B050"/>
                <w:szCs w:val="18"/>
              </w:rPr>
              <w:t>90</w:t>
            </w:r>
          </w:p>
        </w:tc>
      </w:tr>
      <w:tr w:rsidR="001D65C1" w:rsidRPr="00A23B02" w14:paraId="50AB5FB2" w14:textId="77777777" w:rsidTr="00CE24A9">
        <w:trPr>
          <w:cantSplit/>
          <w:trHeight w:val="266"/>
        </w:trPr>
        <w:tc>
          <w:tcPr>
            <w:tcW w:w="3239" w:type="dxa"/>
            <w:tcBorders>
              <w:top w:val="nil"/>
              <w:left w:val="single" w:sz="8" w:space="0" w:color="000000"/>
              <w:bottom w:val="nil"/>
              <w:right w:val="single" w:sz="6" w:space="0" w:color="000000"/>
            </w:tcBorders>
          </w:tcPr>
          <w:p w14:paraId="043E5D71" w14:textId="77777777" w:rsidR="001D65C1" w:rsidRPr="00BE4490" w:rsidRDefault="001D65C1" w:rsidP="00CE24A9">
            <w:pPr>
              <w:pStyle w:val="TableText"/>
              <w:ind w:left="342"/>
              <w:rPr>
                <w:color w:val="00B050"/>
              </w:rPr>
            </w:pPr>
            <w:r w:rsidRPr="00BE4490">
              <w:rPr>
                <w:color w:val="00B050"/>
              </w:rPr>
              <w:t>Two fractured faces</w:t>
            </w:r>
          </w:p>
        </w:tc>
        <w:tc>
          <w:tcPr>
            <w:tcW w:w="1431" w:type="dxa"/>
            <w:tcBorders>
              <w:top w:val="nil"/>
              <w:left w:val="single" w:sz="6" w:space="0" w:color="000000"/>
              <w:bottom w:val="nil"/>
              <w:right w:val="single" w:sz="10" w:space="0" w:color="000000"/>
            </w:tcBorders>
          </w:tcPr>
          <w:p w14:paraId="67935C8A"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1B520595"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34ACEABD"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14:paraId="68B624AE"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14:paraId="2EAA271D" w14:textId="77777777" w:rsidR="001D65C1" w:rsidRPr="00BE4490" w:rsidRDefault="001D65C1" w:rsidP="00CE24A9">
            <w:pPr>
              <w:pStyle w:val="TableText"/>
              <w:jc w:val="center"/>
              <w:rPr>
                <w:rFonts w:cs="Arial"/>
                <w:color w:val="00B050"/>
                <w:szCs w:val="18"/>
              </w:rPr>
            </w:pPr>
            <w:r>
              <w:rPr>
                <w:rFonts w:cs="Arial"/>
                <w:color w:val="00B050"/>
                <w:szCs w:val="18"/>
              </w:rPr>
              <w:t>75</w:t>
            </w:r>
          </w:p>
        </w:tc>
      </w:tr>
      <w:tr w:rsidR="001D65C1" w:rsidRPr="00A23B02" w14:paraId="00B566E7" w14:textId="77777777" w:rsidTr="00CE24A9">
        <w:trPr>
          <w:cantSplit/>
          <w:trHeight w:val="266"/>
        </w:trPr>
        <w:tc>
          <w:tcPr>
            <w:tcW w:w="3239" w:type="dxa"/>
            <w:tcBorders>
              <w:top w:val="nil"/>
              <w:left w:val="single" w:sz="8" w:space="0" w:color="000000"/>
              <w:bottom w:val="nil"/>
              <w:right w:val="single" w:sz="6" w:space="0" w:color="000000"/>
            </w:tcBorders>
          </w:tcPr>
          <w:p w14:paraId="59831989" w14:textId="77777777" w:rsidR="001D65C1" w:rsidRPr="00BE4490" w:rsidRDefault="001D65C1" w:rsidP="00CE24A9">
            <w:pPr>
              <w:pStyle w:val="TableText"/>
              <w:rPr>
                <w:color w:val="00B050"/>
              </w:rPr>
            </w:pPr>
            <w:r w:rsidRPr="00BE4490">
              <w:rPr>
                <w:color w:val="00B050"/>
              </w:rPr>
              <w:t>Fine aggregate (%, min)</w:t>
            </w:r>
            <w:r>
              <w:rPr>
                <w:color w:val="00B050"/>
              </w:rPr>
              <w:t xml:space="preserve"> </w:t>
            </w:r>
            <w:r>
              <w:rPr>
                <w:color w:val="00B050"/>
              </w:rPr>
              <w:br/>
            </w:r>
            <w:r w:rsidRPr="00BE4490">
              <w:rPr>
                <w:color w:val="00B050"/>
              </w:rPr>
              <w:t>(Passing no.</w:t>
            </w:r>
            <w:r>
              <w:rPr>
                <w:color w:val="00B050"/>
              </w:rPr>
              <w:t> 4 sieve and retained on no. </w:t>
            </w:r>
            <w:r w:rsidRPr="00BE4490">
              <w:rPr>
                <w:color w:val="00B050"/>
              </w:rPr>
              <w:t>8 sieve.)</w:t>
            </w:r>
          </w:p>
        </w:tc>
        <w:tc>
          <w:tcPr>
            <w:tcW w:w="1431" w:type="dxa"/>
            <w:tcBorders>
              <w:top w:val="nil"/>
              <w:left w:val="single" w:sz="6" w:space="0" w:color="000000"/>
              <w:bottom w:val="nil"/>
              <w:right w:val="single" w:sz="10" w:space="0" w:color="000000"/>
            </w:tcBorders>
          </w:tcPr>
          <w:p w14:paraId="15778FDD"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26D6C4C3"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18473E84"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14:paraId="003600FC"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14:paraId="32D06B69" w14:textId="77777777" w:rsidR="001D65C1" w:rsidRPr="00BE4490" w:rsidRDefault="001D65C1" w:rsidP="00CE24A9">
            <w:pPr>
              <w:pStyle w:val="TableText"/>
              <w:jc w:val="center"/>
              <w:rPr>
                <w:rFonts w:cs="Arial"/>
                <w:color w:val="00B050"/>
                <w:szCs w:val="18"/>
              </w:rPr>
            </w:pPr>
          </w:p>
        </w:tc>
      </w:tr>
      <w:tr w:rsidR="001D65C1" w:rsidRPr="00A23B02" w14:paraId="681A61CB" w14:textId="77777777" w:rsidTr="00CE24A9">
        <w:trPr>
          <w:cantSplit/>
          <w:trHeight w:val="266"/>
        </w:trPr>
        <w:tc>
          <w:tcPr>
            <w:tcW w:w="3239" w:type="dxa"/>
            <w:tcBorders>
              <w:top w:val="nil"/>
              <w:left w:val="single" w:sz="8" w:space="0" w:color="000000"/>
              <w:bottom w:val="single" w:sz="8" w:space="0" w:color="000000"/>
              <w:right w:val="single" w:sz="6" w:space="0" w:color="000000"/>
            </w:tcBorders>
          </w:tcPr>
          <w:p w14:paraId="4A395FEB" w14:textId="77777777" w:rsidR="001D65C1" w:rsidRPr="00BE4490" w:rsidRDefault="001D65C1" w:rsidP="00CE24A9">
            <w:pPr>
              <w:pStyle w:val="TableText"/>
              <w:ind w:left="342"/>
              <w:rPr>
                <w:color w:val="00B050"/>
              </w:rPr>
            </w:pPr>
            <w:r w:rsidRPr="00BE4490">
              <w:rPr>
                <w:color w:val="00B050"/>
              </w:rPr>
              <w:t>One fractured face</w:t>
            </w:r>
          </w:p>
        </w:tc>
        <w:tc>
          <w:tcPr>
            <w:tcW w:w="1431" w:type="dxa"/>
            <w:tcBorders>
              <w:top w:val="nil"/>
              <w:left w:val="single" w:sz="6" w:space="0" w:color="000000"/>
              <w:bottom w:val="single" w:sz="8" w:space="0" w:color="000000"/>
              <w:right w:val="single" w:sz="10" w:space="0" w:color="000000"/>
            </w:tcBorders>
          </w:tcPr>
          <w:p w14:paraId="16219676"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14:paraId="2195F4E0"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14:paraId="10DFFE35"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8" w:space="0" w:color="000000"/>
            </w:tcBorders>
          </w:tcPr>
          <w:p w14:paraId="7C280002"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single" w:sz="8" w:space="0" w:color="000000"/>
              <w:right w:val="single" w:sz="8" w:space="0" w:color="000000"/>
            </w:tcBorders>
          </w:tcPr>
          <w:p w14:paraId="259534E1" w14:textId="77777777" w:rsidR="001D65C1" w:rsidRPr="00BE4490" w:rsidRDefault="001D65C1" w:rsidP="00CE24A9">
            <w:pPr>
              <w:pStyle w:val="TableText"/>
              <w:jc w:val="center"/>
              <w:rPr>
                <w:rFonts w:cs="Arial"/>
                <w:color w:val="00B050"/>
                <w:szCs w:val="18"/>
              </w:rPr>
            </w:pPr>
            <w:r>
              <w:rPr>
                <w:rFonts w:cs="Arial"/>
                <w:color w:val="00B050"/>
                <w:szCs w:val="18"/>
              </w:rPr>
              <w:t>90</w:t>
            </w:r>
          </w:p>
        </w:tc>
      </w:tr>
      <w:tr w:rsidR="001D65C1" w:rsidRPr="00A23B02" w14:paraId="474FFFBF" w14:textId="77777777" w:rsidTr="00CE24A9">
        <w:trPr>
          <w:cantSplit/>
          <w:trHeight w:val="266"/>
        </w:trPr>
        <w:tc>
          <w:tcPr>
            <w:tcW w:w="3239" w:type="dxa"/>
            <w:tcBorders>
              <w:top w:val="single" w:sz="8" w:space="0" w:color="000000"/>
              <w:left w:val="single" w:sz="8" w:space="0" w:color="000000"/>
              <w:bottom w:val="nil"/>
              <w:right w:val="single" w:sz="6" w:space="0" w:color="000000"/>
            </w:tcBorders>
          </w:tcPr>
          <w:p w14:paraId="5726A294" w14:textId="77777777" w:rsidR="001D65C1" w:rsidRPr="00A23B02" w:rsidRDefault="001D65C1" w:rsidP="00CE24A9">
            <w:pPr>
              <w:pStyle w:val="TableText"/>
            </w:pPr>
            <w:r w:rsidRPr="00BE4490">
              <w:rPr>
                <w:color w:val="00B050"/>
              </w:rPr>
              <w:t>Los Angeles Rattler (%, max)</w:t>
            </w:r>
          </w:p>
        </w:tc>
        <w:tc>
          <w:tcPr>
            <w:tcW w:w="1431" w:type="dxa"/>
            <w:tcBorders>
              <w:top w:val="single" w:sz="8" w:space="0" w:color="000000"/>
              <w:left w:val="single" w:sz="6" w:space="0" w:color="000000"/>
              <w:bottom w:val="nil"/>
              <w:right w:val="single" w:sz="10" w:space="0" w:color="000000"/>
            </w:tcBorders>
          </w:tcPr>
          <w:p w14:paraId="0037EEF2" w14:textId="77777777" w:rsidR="001D65C1" w:rsidRPr="00A23B02" w:rsidRDefault="001D65C1" w:rsidP="00CE24A9">
            <w:pPr>
              <w:pStyle w:val="TableText"/>
              <w:jc w:val="center"/>
              <w:rPr>
                <w:rFonts w:cs="Arial"/>
                <w:color w:val="00B050"/>
                <w:szCs w:val="18"/>
              </w:rPr>
            </w:pPr>
            <w:r w:rsidRPr="00BE4490">
              <w:rPr>
                <w:rFonts w:cs="Arial"/>
                <w:color w:val="00B050"/>
                <w:szCs w:val="18"/>
              </w:rPr>
              <w:t>CT 211</w:t>
            </w:r>
          </w:p>
        </w:tc>
        <w:tc>
          <w:tcPr>
            <w:tcW w:w="1980" w:type="dxa"/>
            <w:tcBorders>
              <w:top w:val="single" w:sz="8" w:space="0" w:color="000000"/>
              <w:left w:val="single" w:sz="10" w:space="0" w:color="000000"/>
              <w:bottom w:val="nil"/>
              <w:right w:val="single" w:sz="10" w:space="0" w:color="000000"/>
            </w:tcBorders>
          </w:tcPr>
          <w:p w14:paraId="7CD671F5" w14:textId="77777777"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nil"/>
              <w:right w:val="single" w:sz="10" w:space="0" w:color="000000"/>
            </w:tcBorders>
          </w:tcPr>
          <w:p w14:paraId="49DEBF1D"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nil"/>
              <w:right w:val="single" w:sz="8" w:space="0" w:color="000000"/>
            </w:tcBorders>
          </w:tcPr>
          <w:p w14:paraId="01568E2F"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nil"/>
              <w:right w:val="single" w:sz="8" w:space="0" w:color="000000"/>
            </w:tcBorders>
          </w:tcPr>
          <w:p w14:paraId="709961F6" w14:textId="77777777" w:rsidR="001D65C1" w:rsidRPr="00A23B02" w:rsidRDefault="001D65C1" w:rsidP="00CE24A9">
            <w:pPr>
              <w:pStyle w:val="TableText"/>
              <w:jc w:val="center"/>
              <w:rPr>
                <w:rFonts w:cs="Arial"/>
                <w:color w:val="00B050"/>
                <w:szCs w:val="18"/>
              </w:rPr>
            </w:pPr>
          </w:p>
        </w:tc>
      </w:tr>
      <w:tr w:rsidR="001D65C1" w:rsidRPr="00A23B02" w14:paraId="27A63F0F" w14:textId="77777777" w:rsidTr="00CE24A9">
        <w:trPr>
          <w:cantSplit/>
          <w:trHeight w:val="266"/>
        </w:trPr>
        <w:tc>
          <w:tcPr>
            <w:tcW w:w="3239" w:type="dxa"/>
            <w:tcBorders>
              <w:top w:val="nil"/>
              <w:left w:val="single" w:sz="8" w:space="0" w:color="000000"/>
              <w:bottom w:val="nil"/>
              <w:right w:val="single" w:sz="6" w:space="0" w:color="000000"/>
            </w:tcBorders>
          </w:tcPr>
          <w:p w14:paraId="63131E9F" w14:textId="77777777" w:rsidR="001D65C1" w:rsidRPr="00BE4490" w:rsidRDefault="001D65C1" w:rsidP="00CE24A9">
            <w:pPr>
              <w:pStyle w:val="TableText"/>
              <w:ind w:left="342"/>
              <w:rPr>
                <w:color w:val="00B050"/>
              </w:rPr>
            </w:pPr>
            <w:r w:rsidRPr="00BE4490">
              <w:rPr>
                <w:color w:val="00B050"/>
              </w:rPr>
              <w:t>Loss at 100 rev.</w:t>
            </w:r>
          </w:p>
        </w:tc>
        <w:tc>
          <w:tcPr>
            <w:tcW w:w="1431" w:type="dxa"/>
            <w:tcBorders>
              <w:top w:val="nil"/>
              <w:left w:val="single" w:sz="6" w:space="0" w:color="000000"/>
              <w:bottom w:val="nil"/>
              <w:right w:val="single" w:sz="10" w:space="0" w:color="000000"/>
            </w:tcBorders>
          </w:tcPr>
          <w:p w14:paraId="6F8AAA9A"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35BFC4EA"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14:paraId="18F21F4D"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14:paraId="1BA77BBB"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14:paraId="0342759A" w14:textId="77777777" w:rsidR="001D65C1" w:rsidRPr="00BE4490" w:rsidRDefault="001D65C1" w:rsidP="00CE24A9">
            <w:pPr>
              <w:pStyle w:val="TableText"/>
              <w:jc w:val="center"/>
              <w:rPr>
                <w:rFonts w:cs="Arial"/>
                <w:color w:val="00B050"/>
                <w:szCs w:val="18"/>
              </w:rPr>
            </w:pPr>
            <w:r>
              <w:rPr>
                <w:rFonts w:cs="Arial"/>
                <w:color w:val="00B050"/>
                <w:szCs w:val="18"/>
              </w:rPr>
              <w:t>12</w:t>
            </w:r>
          </w:p>
        </w:tc>
      </w:tr>
      <w:tr w:rsidR="001D65C1" w:rsidRPr="00A23B02" w14:paraId="18E83F3B" w14:textId="77777777" w:rsidTr="00CE24A9">
        <w:trPr>
          <w:cantSplit/>
          <w:trHeight w:val="266"/>
        </w:trPr>
        <w:tc>
          <w:tcPr>
            <w:tcW w:w="3239" w:type="dxa"/>
            <w:tcBorders>
              <w:top w:val="nil"/>
              <w:left w:val="single" w:sz="8" w:space="0" w:color="000000"/>
              <w:bottom w:val="single" w:sz="8" w:space="0" w:color="000000"/>
              <w:right w:val="single" w:sz="6" w:space="0" w:color="000000"/>
            </w:tcBorders>
          </w:tcPr>
          <w:p w14:paraId="2FCDD913" w14:textId="77777777" w:rsidR="001D65C1" w:rsidRPr="00BE4490" w:rsidRDefault="001D65C1" w:rsidP="00CE24A9">
            <w:pPr>
              <w:pStyle w:val="TableText"/>
              <w:ind w:left="342"/>
              <w:rPr>
                <w:color w:val="00B050"/>
              </w:rPr>
            </w:pPr>
            <w:r w:rsidRPr="00BE4490">
              <w:rPr>
                <w:color w:val="00B050"/>
              </w:rPr>
              <w:t>Loss at 500 rev.</w:t>
            </w:r>
          </w:p>
        </w:tc>
        <w:tc>
          <w:tcPr>
            <w:tcW w:w="1431" w:type="dxa"/>
            <w:tcBorders>
              <w:top w:val="nil"/>
              <w:left w:val="single" w:sz="6" w:space="0" w:color="000000"/>
              <w:bottom w:val="single" w:sz="8" w:space="0" w:color="000000"/>
              <w:right w:val="single" w:sz="10" w:space="0" w:color="000000"/>
            </w:tcBorders>
          </w:tcPr>
          <w:p w14:paraId="070D8858"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14:paraId="2D3454AA"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14:paraId="4BA0B62E" w14:textId="77777777"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8" w:space="0" w:color="000000"/>
            </w:tcBorders>
          </w:tcPr>
          <w:p w14:paraId="6F79D3EE" w14:textId="77777777"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single" w:sz="8" w:space="0" w:color="000000"/>
              <w:right w:val="single" w:sz="8" w:space="0" w:color="000000"/>
            </w:tcBorders>
          </w:tcPr>
          <w:p w14:paraId="2FC44DC5" w14:textId="77777777" w:rsidR="001D65C1" w:rsidRPr="00BE4490" w:rsidRDefault="001D65C1" w:rsidP="00CE24A9">
            <w:pPr>
              <w:pStyle w:val="TableText"/>
              <w:jc w:val="center"/>
              <w:rPr>
                <w:rFonts w:cs="Arial"/>
                <w:color w:val="00B050"/>
                <w:szCs w:val="18"/>
              </w:rPr>
            </w:pPr>
            <w:r>
              <w:rPr>
                <w:rFonts w:cs="Arial"/>
                <w:color w:val="00B050"/>
                <w:szCs w:val="18"/>
              </w:rPr>
              <w:t>40</w:t>
            </w:r>
          </w:p>
        </w:tc>
      </w:tr>
      <w:tr w:rsidR="001D65C1" w:rsidRPr="00A23B02" w14:paraId="6FB48FC6"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20CE8AE9" w14:textId="77777777" w:rsidR="001D65C1" w:rsidRPr="00A23B02" w:rsidRDefault="001D65C1" w:rsidP="00CE24A9">
            <w:pPr>
              <w:pStyle w:val="TableText"/>
            </w:pPr>
            <w:r w:rsidRPr="00BE4490">
              <w:rPr>
                <w:color w:val="00B050"/>
              </w:rPr>
              <w:t>Aggregate Durability Index</w:t>
            </w:r>
          </w:p>
        </w:tc>
        <w:tc>
          <w:tcPr>
            <w:tcW w:w="1431" w:type="dxa"/>
            <w:tcBorders>
              <w:top w:val="single" w:sz="8" w:space="0" w:color="000000"/>
              <w:left w:val="single" w:sz="6" w:space="0" w:color="000000"/>
              <w:bottom w:val="single" w:sz="8" w:space="0" w:color="000000"/>
              <w:right w:val="single" w:sz="10" w:space="0" w:color="000000"/>
            </w:tcBorders>
          </w:tcPr>
          <w:p w14:paraId="2EB3C345" w14:textId="77777777" w:rsidR="001D65C1" w:rsidRPr="00A23B02" w:rsidRDefault="001D65C1" w:rsidP="00CE24A9">
            <w:pPr>
              <w:pStyle w:val="TableText"/>
              <w:jc w:val="center"/>
              <w:rPr>
                <w:rFonts w:cs="Arial"/>
                <w:color w:val="00B050"/>
                <w:szCs w:val="18"/>
              </w:rPr>
            </w:pPr>
            <w:r w:rsidRPr="00BE4490">
              <w:rPr>
                <w:rFonts w:cs="Arial"/>
                <w:color w:val="00B050"/>
                <w:szCs w:val="18"/>
              </w:rPr>
              <w:t>CT 229</w:t>
            </w:r>
          </w:p>
        </w:tc>
        <w:tc>
          <w:tcPr>
            <w:tcW w:w="1980" w:type="dxa"/>
            <w:tcBorders>
              <w:top w:val="single" w:sz="8" w:space="0" w:color="000000"/>
              <w:left w:val="single" w:sz="10" w:space="0" w:color="000000"/>
              <w:bottom w:val="single" w:sz="8" w:space="0" w:color="000000"/>
              <w:right w:val="single" w:sz="10" w:space="0" w:color="000000"/>
            </w:tcBorders>
          </w:tcPr>
          <w:p w14:paraId="4156F181" w14:textId="77777777"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tcBorders>
              <w:top w:val="single" w:sz="8" w:space="0" w:color="000000"/>
              <w:left w:val="single" w:sz="10" w:space="0" w:color="000000"/>
              <w:bottom w:val="single" w:sz="8" w:space="0" w:color="000000"/>
              <w:right w:val="single" w:sz="10" w:space="0" w:color="000000"/>
            </w:tcBorders>
          </w:tcPr>
          <w:p w14:paraId="3F7BA79F"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14:paraId="05DA5CBA"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2523F682" w14:textId="77777777" w:rsidR="001D65C1" w:rsidRPr="00A23B02" w:rsidRDefault="001D65C1" w:rsidP="00CE24A9">
            <w:pPr>
              <w:pStyle w:val="TableText"/>
              <w:jc w:val="center"/>
              <w:rPr>
                <w:rFonts w:cs="Arial"/>
                <w:color w:val="00B050"/>
                <w:szCs w:val="18"/>
              </w:rPr>
            </w:pPr>
            <w:r w:rsidRPr="00BE4490">
              <w:rPr>
                <w:rFonts w:cs="Arial"/>
                <w:color w:val="00B050"/>
                <w:szCs w:val="18"/>
              </w:rPr>
              <w:t>DI</w:t>
            </w:r>
            <w:r>
              <w:rPr>
                <w:rFonts w:cs="Arial"/>
                <w:color w:val="00B050"/>
                <w:szCs w:val="18"/>
              </w:rPr>
              <w:t> </w:t>
            </w:r>
            <w:r w:rsidRPr="00BE4490">
              <w:rPr>
                <w:rFonts w:cs="Arial"/>
                <w:color w:val="00B050"/>
                <w:szCs w:val="18"/>
              </w:rPr>
              <w:t>&gt;</w:t>
            </w:r>
            <w:r>
              <w:rPr>
                <w:rFonts w:cs="Arial"/>
                <w:color w:val="00B050"/>
                <w:szCs w:val="18"/>
              </w:rPr>
              <w:t> </w:t>
            </w:r>
            <w:r w:rsidRPr="00BE4490">
              <w:rPr>
                <w:rFonts w:cs="Arial"/>
                <w:color w:val="00B050"/>
                <w:szCs w:val="18"/>
              </w:rPr>
              <w:t>35</w:t>
            </w:r>
          </w:p>
        </w:tc>
      </w:tr>
      <w:tr w:rsidR="001D65C1" w:rsidRPr="00A23B02" w14:paraId="4473D8CB"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7CFC81C2" w14:textId="77777777" w:rsidR="001D65C1" w:rsidRPr="00A23B02" w:rsidRDefault="001D65C1" w:rsidP="00CE24A9">
            <w:pPr>
              <w:pStyle w:val="TableText"/>
            </w:pPr>
            <w:r w:rsidRPr="00BE4490">
              <w:rPr>
                <w:color w:val="00B050"/>
              </w:rPr>
              <w:t>Aggregate Cleanness Value</w:t>
            </w:r>
          </w:p>
        </w:tc>
        <w:tc>
          <w:tcPr>
            <w:tcW w:w="1431" w:type="dxa"/>
            <w:tcBorders>
              <w:top w:val="single" w:sz="8" w:space="0" w:color="000000"/>
              <w:left w:val="single" w:sz="6" w:space="0" w:color="000000"/>
              <w:bottom w:val="single" w:sz="8" w:space="0" w:color="000000"/>
              <w:right w:val="single" w:sz="10" w:space="0" w:color="000000"/>
            </w:tcBorders>
          </w:tcPr>
          <w:p w14:paraId="7E0ADFCA" w14:textId="77777777" w:rsidR="001D65C1" w:rsidRPr="00A23B02" w:rsidRDefault="001D65C1" w:rsidP="00CE24A9">
            <w:pPr>
              <w:pStyle w:val="TableText"/>
              <w:jc w:val="center"/>
              <w:rPr>
                <w:rFonts w:cs="Arial"/>
                <w:color w:val="00B050"/>
                <w:szCs w:val="18"/>
              </w:rPr>
            </w:pPr>
            <w:r w:rsidRPr="00BE4490">
              <w:rPr>
                <w:rFonts w:cs="Arial"/>
                <w:color w:val="00B050"/>
                <w:szCs w:val="18"/>
              </w:rPr>
              <w:t>CT 227</w:t>
            </w:r>
          </w:p>
        </w:tc>
        <w:tc>
          <w:tcPr>
            <w:tcW w:w="1980" w:type="dxa"/>
            <w:tcBorders>
              <w:top w:val="single" w:sz="8" w:space="0" w:color="000000"/>
              <w:left w:val="single" w:sz="10" w:space="0" w:color="000000"/>
              <w:bottom w:val="single" w:sz="8" w:space="0" w:color="000000"/>
              <w:right w:val="single" w:sz="10" w:space="0" w:color="000000"/>
            </w:tcBorders>
          </w:tcPr>
          <w:p w14:paraId="02385361" w14:textId="77777777"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tcBorders>
              <w:top w:val="single" w:sz="8" w:space="0" w:color="000000"/>
              <w:left w:val="single" w:sz="10" w:space="0" w:color="000000"/>
              <w:bottom w:val="single" w:sz="8" w:space="0" w:color="000000"/>
              <w:right w:val="single" w:sz="10" w:space="0" w:color="000000"/>
            </w:tcBorders>
          </w:tcPr>
          <w:p w14:paraId="45E3619E"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14:paraId="3F24B8C7"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7ED1749E" w14:textId="77777777" w:rsidR="001D65C1" w:rsidRPr="00A23B02" w:rsidRDefault="001D65C1" w:rsidP="00CE24A9">
            <w:pPr>
              <w:pStyle w:val="TableText"/>
              <w:jc w:val="center"/>
              <w:rPr>
                <w:rFonts w:cs="Arial"/>
                <w:color w:val="00B050"/>
                <w:szCs w:val="18"/>
              </w:rPr>
            </w:pPr>
            <w:r w:rsidRPr="00BE4490">
              <w:rPr>
                <w:rFonts w:cs="Arial"/>
                <w:color w:val="00B050"/>
                <w:szCs w:val="18"/>
              </w:rPr>
              <w:t>CV</w:t>
            </w:r>
            <w:r>
              <w:rPr>
                <w:rFonts w:cs="Arial"/>
                <w:color w:val="00B050"/>
                <w:szCs w:val="18"/>
              </w:rPr>
              <w:t> </w:t>
            </w:r>
            <w:r w:rsidRPr="00BE4490">
              <w:rPr>
                <w:rFonts w:cs="Arial"/>
                <w:color w:val="00B050"/>
                <w:szCs w:val="18"/>
              </w:rPr>
              <w:t>&gt;</w:t>
            </w:r>
            <w:r>
              <w:rPr>
                <w:rFonts w:cs="Arial"/>
                <w:color w:val="00B050"/>
                <w:szCs w:val="18"/>
              </w:rPr>
              <w:t> </w:t>
            </w:r>
            <w:r w:rsidRPr="00BE4490">
              <w:rPr>
                <w:rFonts w:cs="Arial"/>
                <w:color w:val="00B050"/>
                <w:szCs w:val="18"/>
              </w:rPr>
              <w:t>75</w:t>
            </w:r>
          </w:p>
        </w:tc>
      </w:tr>
      <w:tr w:rsidR="001D65C1" w:rsidRPr="00A23B02" w14:paraId="4D147DD0"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2B50C647" w14:textId="77777777" w:rsidR="001D65C1" w:rsidRPr="00A23B02" w:rsidRDefault="001D65C1" w:rsidP="00CE24A9">
            <w:pPr>
              <w:pStyle w:val="TableText"/>
            </w:pPr>
            <w:r w:rsidRPr="00BE4490">
              <w:rPr>
                <w:color w:val="00B050"/>
              </w:rPr>
              <w:t xml:space="preserve">Asphalt Temp. </w:t>
            </w:r>
          </w:p>
        </w:tc>
        <w:tc>
          <w:tcPr>
            <w:tcW w:w="1431" w:type="dxa"/>
            <w:tcBorders>
              <w:top w:val="single" w:sz="8" w:space="0" w:color="000000"/>
              <w:left w:val="single" w:sz="6" w:space="0" w:color="000000"/>
              <w:bottom w:val="single" w:sz="8" w:space="0" w:color="000000"/>
              <w:right w:val="single" w:sz="10" w:space="0" w:color="000000"/>
            </w:tcBorders>
          </w:tcPr>
          <w:p w14:paraId="54D36629" w14:textId="77777777" w:rsidR="001D65C1" w:rsidRPr="00A23B02" w:rsidRDefault="001D65C1" w:rsidP="00CE24A9">
            <w:pPr>
              <w:pStyle w:val="TableText"/>
              <w:jc w:val="center"/>
              <w:rPr>
                <w:rFonts w:cs="Arial"/>
                <w:color w:val="00B050"/>
                <w:szCs w:val="18"/>
              </w:rPr>
            </w:pPr>
            <w:r w:rsidRPr="00BE4490">
              <w:rPr>
                <w:rFonts w:cs="Arial"/>
                <w:color w:val="00B050"/>
                <w:szCs w:val="18"/>
              </w:rPr>
              <w:t>Recorded</w:t>
            </w:r>
          </w:p>
        </w:tc>
        <w:tc>
          <w:tcPr>
            <w:tcW w:w="1980" w:type="dxa"/>
            <w:tcBorders>
              <w:top w:val="single" w:sz="8" w:space="0" w:color="000000"/>
              <w:left w:val="single" w:sz="10" w:space="0" w:color="000000"/>
              <w:bottom w:val="single" w:sz="8" w:space="0" w:color="000000"/>
              <w:right w:val="single" w:sz="10" w:space="0" w:color="000000"/>
            </w:tcBorders>
          </w:tcPr>
          <w:p w14:paraId="4D0320F7"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Continuous </w:t>
            </w:r>
          </w:p>
        </w:tc>
        <w:tc>
          <w:tcPr>
            <w:tcW w:w="1980" w:type="dxa"/>
            <w:tcBorders>
              <w:top w:val="single" w:sz="8" w:space="0" w:color="000000"/>
              <w:left w:val="single" w:sz="10" w:space="0" w:color="000000"/>
              <w:bottom w:val="single" w:sz="8" w:space="0" w:color="000000"/>
              <w:right w:val="single" w:sz="10" w:space="0" w:color="000000"/>
            </w:tcBorders>
          </w:tcPr>
          <w:p w14:paraId="0C14770E"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Plant </w:t>
            </w:r>
          </w:p>
        </w:tc>
        <w:tc>
          <w:tcPr>
            <w:tcW w:w="1980" w:type="dxa"/>
            <w:tcBorders>
              <w:top w:val="single" w:sz="8" w:space="0" w:color="000000"/>
              <w:left w:val="single" w:sz="10" w:space="0" w:color="000000"/>
              <w:bottom w:val="single" w:sz="8" w:space="0" w:color="000000"/>
              <w:right w:val="single" w:sz="8" w:space="0" w:color="000000"/>
            </w:tcBorders>
          </w:tcPr>
          <w:p w14:paraId="082806F7"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14:paraId="029FF206" w14:textId="77777777" w:rsidR="001D65C1" w:rsidRPr="00A23B02" w:rsidRDefault="001D65C1" w:rsidP="00CE24A9">
            <w:pPr>
              <w:pStyle w:val="TableText"/>
              <w:jc w:val="center"/>
              <w:rPr>
                <w:rFonts w:cs="Arial"/>
                <w:color w:val="00B050"/>
                <w:szCs w:val="18"/>
              </w:rPr>
            </w:pPr>
            <w:r w:rsidRPr="00BE4490">
              <w:rPr>
                <w:rFonts w:cs="Arial"/>
                <w:color w:val="00B050"/>
                <w:szCs w:val="18"/>
              </w:rPr>
              <w:t>120</w:t>
            </w:r>
            <w:r>
              <w:rPr>
                <w:rFonts w:cs="Arial"/>
                <w:color w:val="00B050"/>
                <w:szCs w:val="18"/>
              </w:rPr>
              <w:t>–</w:t>
            </w:r>
            <w:r w:rsidRPr="00BE4490">
              <w:rPr>
                <w:rFonts w:cs="Arial"/>
                <w:color w:val="00B050"/>
                <w:szCs w:val="18"/>
              </w:rPr>
              <w:t xml:space="preserve">190 </w:t>
            </w:r>
          </w:p>
        </w:tc>
      </w:tr>
      <w:tr w:rsidR="001D65C1" w:rsidRPr="00A23B02" w14:paraId="311B5E77"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262B5FCB" w14:textId="77777777" w:rsidR="001D65C1" w:rsidRPr="00A23B02" w:rsidRDefault="001D65C1" w:rsidP="00CE24A9">
            <w:pPr>
              <w:pStyle w:val="TableText"/>
            </w:pPr>
            <w:r w:rsidRPr="00BE4490">
              <w:rPr>
                <w:color w:val="00B050"/>
              </w:rPr>
              <w:t xml:space="preserve">Plant Mix Temperature </w:t>
            </w:r>
          </w:p>
        </w:tc>
        <w:tc>
          <w:tcPr>
            <w:tcW w:w="1431" w:type="dxa"/>
            <w:tcBorders>
              <w:top w:val="single" w:sz="8" w:space="0" w:color="000000"/>
              <w:left w:val="single" w:sz="6" w:space="0" w:color="000000"/>
              <w:bottom w:val="single" w:sz="8" w:space="0" w:color="000000"/>
              <w:right w:val="single" w:sz="10" w:space="0" w:color="000000"/>
            </w:tcBorders>
          </w:tcPr>
          <w:p w14:paraId="6906C74F" w14:textId="77777777" w:rsidR="001D65C1" w:rsidRPr="00A23B02" w:rsidRDefault="001D65C1" w:rsidP="00CE24A9">
            <w:pPr>
              <w:pStyle w:val="TableText"/>
              <w:jc w:val="center"/>
              <w:rPr>
                <w:rFonts w:cs="Arial"/>
                <w:color w:val="00B050"/>
                <w:szCs w:val="18"/>
              </w:rPr>
            </w:pPr>
            <w:r w:rsidRPr="00BE4490">
              <w:rPr>
                <w:rFonts w:cs="Arial"/>
                <w:color w:val="00B050"/>
                <w:szCs w:val="18"/>
              </w:rPr>
              <w:t>Recorded</w:t>
            </w:r>
          </w:p>
        </w:tc>
        <w:tc>
          <w:tcPr>
            <w:tcW w:w="1980" w:type="dxa"/>
            <w:tcBorders>
              <w:top w:val="single" w:sz="8" w:space="0" w:color="000000"/>
              <w:left w:val="single" w:sz="10" w:space="0" w:color="000000"/>
              <w:bottom w:val="single" w:sz="8" w:space="0" w:color="000000"/>
              <w:right w:val="single" w:sz="10" w:space="0" w:color="000000"/>
            </w:tcBorders>
          </w:tcPr>
          <w:p w14:paraId="4419165D"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Continuous </w:t>
            </w:r>
          </w:p>
        </w:tc>
        <w:tc>
          <w:tcPr>
            <w:tcW w:w="1980" w:type="dxa"/>
            <w:tcBorders>
              <w:top w:val="single" w:sz="8" w:space="0" w:color="000000"/>
              <w:left w:val="single" w:sz="10" w:space="0" w:color="000000"/>
              <w:bottom w:val="single" w:sz="8" w:space="0" w:color="000000"/>
              <w:right w:val="single" w:sz="10" w:space="0" w:color="000000"/>
            </w:tcBorders>
          </w:tcPr>
          <w:p w14:paraId="117BC082"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Plant </w:t>
            </w:r>
          </w:p>
        </w:tc>
        <w:tc>
          <w:tcPr>
            <w:tcW w:w="1980" w:type="dxa"/>
            <w:tcBorders>
              <w:top w:val="single" w:sz="8" w:space="0" w:color="000000"/>
              <w:left w:val="single" w:sz="10" w:space="0" w:color="000000"/>
              <w:bottom w:val="single" w:sz="8" w:space="0" w:color="000000"/>
              <w:right w:val="single" w:sz="8" w:space="0" w:color="000000"/>
            </w:tcBorders>
          </w:tcPr>
          <w:p w14:paraId="53950315" w14:textId="77777777"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14:paraId="16A41DE4" w14:textId="77777777" w:rsidR="001D65C1" w:rsidRPr="00A23B02" w:rsidRDefault="001D65C1" w:rsidP="00CE24A9">
            <w:pPr>
              <w:pStyle w:val="TableText"/>
              <w:jc w:val="center"/>
              <w:rPr>
                <w:rFonts w:cs="Arial"/>
                <w:color w:val="00B050"/>
                <w:szCs w:val="18"/>
              </w:rPr>
            </w:pPr>
            <w:r>
              <w:rPr>
                <w:rFonts w:cs="Arial"/>
                <w:color w:val="00B050"/>
                <w:szCs w:val="18"/>
              </w:rPr>
              <w:t>165 </w:t>
            </w:r>
            <w:r w:rsidRPr="00BE4490">
              <w:rPr>
                <w:rFonts w:cs="Arial"/>
                <w:color w:val="00B050"/>
                <w:szCs w:val="18"/>
              </w:rPr>
              <w:t xml:space="preserve">Maximum </w:t>
            </w:r>
          </w:p>
        </w:tc>
      </w:tr>
      <w:tr w:rsidR="001D65C1" w:rsidRPr="00A23B02" w14:paraId="565B3220"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0203BC46" w14:textId="77777777" w:rsidR="001D65C1" w:rsidRPr="00A23B02" w:rsidRDefault="001D65C1" w:rsidP="00CE24A9">
            <w:pPr>
              <w:pStyle w:val="TableText"/>
            </w:pPr>
            <w:r w:rsidRPr="00BE4490">
              <w:rPr>
                <w:color w:val="00B050"/>
              </w:rPr>
              <w:t xml:space="preserve">Aggregate moisture content </w:t>
            </w:r>
          </w:p>
        </w:tc>
        <w:tc>
          <w:tcPr>
            <w:tcW w:w="1431" w:type="dxa"/>
            <w:tcBorders>
              <w:top w:val="single" w:sz="8" w:space="0" w:color="000000"/>
              <w:left w:val="single" w:sz="6" w:space="0" w:color="000000"/>
              <w:bottom w:val="single" w:sz="8" w:space="0" w:color="000000"/>
              <w:right w:val="single" w:sz="10" w:space="0" w:color="000000"/>
            </w:tcBorders>
          </w:tcPr>
          <w:p w14:paraId="645A7004" w14:textId="77777777" w:rsidR="001D65C1" w:rsidRPr="00A23B02" w:rsidRDefault="001D65C1" w:rsidP="00CE24A9">
            <w:pPr>
              <w:pStyle w:val="TableText"/>
              <w:jc w:val="center"/>
              <w:rPr>
                <w:rFonts w:cs="Arial"/>
                <w:color w:val="00B050"/>
                <w:szCs w:val="18"/>
              </w:rPr>
            </w:pPr>
            <w:r w:rsidRPr="00BE4490">
              <w:rPr>
                <w:rFonts w:cs="Arial"/>
                <w:color w:val="00B050"/>
                <w:szCs w:val="18"/>
              </w:rPr>
              <w:t>CT 226</w:t>
            </w:r>
          </w:p>
        </w:tc>
        <w:tc>
          <w:tcPr>
            <w:tcW w:w="1980" w:type="dxa"/>
            <w:tcBorders>
              <w:top w:val="single" w:sz="8" w:space="0" w:color="000000"/>
              <w:left w:val="single" w:sz="10" w:space="0" w:color="000000"/>
              <w:bottom w:val="single" w:sz="8" w:space="0" w:color="000000"/>
              <w:right w:val="single" w:sz="10" w:space="0" w:color="000000"/>
            </w:tcBorders>
          </w:tcPr>
          <w:p w14:paraId="7C883832" w14:textId="77777777" w:rsidR="001D65C1" w:rsidRPr="00A23B02" w:rsidRDefault="001D65C1" w:rsidP="00CE24A9">
            <w:pPr>
              <w:pStyle w:val="TableText"/>
              <w:jc w:val="center"/>
              <w:rPr>
                <w:rFonts w:cs="Arial"/>
                <w:color w:val="00B050"/>
                <w:szCs w:val="18"/>
              </w:rPr>
            </w:pPr>
            <w:r w:rsidRPr="00BE4490">
              <w:rPr>
                <w:rFonts w:cs="Arial"/>
                <w:color w:val="00B050"/>
                <w:szCs w:val="18"/>
              </w:rPr>
              <w:t>2/day</w:t>
            </w:r>
          </w:p>
        </w:tc>
        <w:tc>
          <w:tcPr>
            <w:tcW w:w="1980" w:type="dxa"/>
            <w:tcBorders>
              <w:top w:val="single" w:sz="8" w:space="0" w:color="000000"/>
              <w:left w:val="single" w:sz="10" w:space="0" w:color="000000"/>
              <w:bottom w:val="single" w:sz="8" w:space="0" w:color="000000"/>
              <w:right w:val="single" w:sz="10" w:space="0" w:color="000000"/>
            </w:tcBorders>
          </w:tcPr>
          <w:p w14:paraId="10E0D8D8"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14:paraId="1CEB818E"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11D5E913" w14:textId="77777777" w:rsidR="001D65C1" w:rsidRPr="00A23B02" w:rsidRDefault="001D65C1" w:rsidP="00CE24A9">
            <w:pPr>
              <w:pStyle w:val="TableText"/>
              <w:jc w:val="center"/>
              <w:rPr>
                <w:rFonts w:cs="Arial"/>
                <w:color w:val="00B050"/>
                <w:szCs w:val="18"/>
              </w:rPr>
            </w:pPr>
            <w:r w:rsidRPr="00BE4490">
              <w:rPr>
                <w:rFonts w:cs="Arial"/>
                <w:color w:val="00B050"/>
                <w:szCs w:val="18"/>
              </w:rPr>
              <w:t>For adjusting the plant controller at the HMA plant</w:t>
            </w:r>
          </w:p>
        </w:tc>
      </w:tr>
      <w:tr w:rsidR="001D65C1" w:rsidRPr="00A23B02" w14:paraId="7A35E706"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039EE69F" w14:textId="77777777" w:rsidR="001D65C1" w:rsidRPr="00A23B02" w:rsidRDefault="001D65C1" w:rsidP="00CE24A9">
            <w:pPr>
              <w:pStyle w:val="TableText"/>
            </w:pPr>
            <w:r w:rsidRPr="00BE4490">
              <w:rPr>
                <w:color w:val="00B050"/>
              </w:rPr>
              <w:t>Flat and elongated particles (%, max by weight @ 5:1)</w:t>
            </w:r>
          </w:p>
        </w:tc>
        <w:tc>
          <w:tcPr>
            <w:tcW w:w="1431" w:type="dxa"/>
            <w:tcBorders>
              <w:top w:val="single" w:sz="8" w:space="0" w:color="000000"/>
              <w:left w:val="single" w:sz="6" w:space="0" w:color="000000"/>
              <w:bottom w:val="single" w:sz="8" w:space="0" w:color="000000"/>
              <w:right w:val="single" w:sz="10" w:space="0" w:color="000000"/>
            </w:tcBorders>
          </w:tcPr>
          <w:p w14:paraId="020211F2" w14:textId="77777777" w:rsidR="001D65C1" w:rsidRPr="00A23B02" w:rsidRDefault="001D65C1" w:rsidP="00CE24A9">
            <w:pPr>
              <w:pStyle w:val="TableText"/>
              <w:jc w:val="center"/>
              <w:rPr>
                <w:rFonts w:cs="Arial"/>
                <w:color w:val="00B050"/>
                <w:szCs w:val="18"/>
              </w:rPr>
            </w:pPr>
            <w:r w:rsidRPr="00BE4490">
              <w:rPr>
                <w:rFonts w:cs="Arial"/>
                <w:color w:val="00B050"/>
                <w:szCs w:val="18"/>
              </w:rPr>
              <w:t>CT 235</w:t>
            </w:r>
          </w:p>
        </w:tc>
        <w:tc>
          <w:tcPr>
            <w:tcW w:w="1980" w:type="dxa"/>
            <w:tcBorders>
              <w:top w:val="single" w:sz="8" w:space="0" w:color="000000"/>
              <w:left w:val="single" w:sz="10" w:space="0" w:color="000000"/>
              <w:bottom w:val="single" w:sz="8" w:space="0" w:color="000000"/>
              <w:right w:val="single" w:sz="10" w:space="0" w:color="000000"/>
            </w:tcBorders>
          </w:tcPr>
          <w:p w14:paraId="24771C86" w14:textId="77777777"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single" w:sz="8" w:space="0" w:color="000000"/>
              <w:right w:val="single" w:sz="10" w:space="0" w:color="000000"/>
            </w:tcBorders>
          </w:tcPr>
          <w:p w14:paraId="088E0F96" w14:textId="77777777"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14:paraId="4CF89BDF" w14:textId="77777777"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7880A48E" w14:textId="77777777" w:rsidR="001D65C1" w:rsidRPr="00A23B02" w:rsidRDefault="001D65C1" w:rsidP="00CE24A9">
            <w:pPr>
              <w:pStyle w:val="TableText"/>
              <w:jc w:val="center"/>
              <w:rPr>
                <w:rFonts w:cs="Arial"/>
                <w:color w:val="00B050"/>
                <w:szCs w:val="18"/>
              </w:rPr>
            </w:pPr>
            <w:r w:rsidRPr="00BE4490">
              <w:rPr>
                <w:rFonts w:cs="Arial"/>
                <w:color w:val="00B050"/>
                <w:szCs w:val="18"/>
              </w:rPr>
              <w:t>Report Only</w:t>
            </w:r>
          </w:p>
        </w:tc>
      </w:tr>
      <w:tr w:rsidR="001D65C1" w:rsidRPr="00A23B02" w14:paraId="185D2C06" w14:textId="77777777" w:rsidTr="00CE24A9">
        <w:trPr>
          <w:cantSplit/>
          <w:trHeight w:val="266"/>
        </w:trPr>
        <w:tc>
          <w:tcPr>
            <w:tcW w:w="12960" w:type="dxa"/>
            <w:gridSpan w:val="7"/>
            <w:tcBorders>
              <w:top w:val="single" w:sz="8" w:space="0" w:color="000000"/>
              <w:left w:val="single" w:sz="8" w:space="0" w:color="000000"/>
              <w:bottom w:val="single" w:sz="8" w:space="0" w:color="000000"/>
              <w:right w:val="single" w:sz="8" w:space="0" w:color="000000"/>
            </w:tcBorders>
          </w:tcPr>
          <w:p w14:paraId="00ECD2BC" w14:textId="77777777" w:rsidR="001D65C1" w:rsidRPr="00BE4490" w:rsidRDefault="001D65C1" w:rsidP="00CE24A9">
            <w:pPr>
              <w:pStyle w:val="TableHeading"/>
              <w:keepNext/>
              <w:rPr>
                <w:color w:val="00B050"/>
              </w:rPr>
            </w:pPr>
            <w:r w:rsidRPr="00BE4490">
              <w:rPr>
                <w:color w:val="00B050"/>
              </w:rPr>
              <w:lastRenderedPageBreak/>
              <w:t>Street Operations</w:t>
            </w:r>
          </w:p>
        </w:tc>
      </w:tr>
      <w:tr w:rsidR="001D65C1" w:rsidRPr="00A23B02" w14:paraId="6AF0823D"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496E9EB9" w14:textId="77777777" w:rsidR="001D65C1" w:rsidRPr="00A23B02" w:rsidRDefault="001D65C1" w:rsidP="00CE24A9">
            <w:pPr>
              <w:pStyle w:val="TableText"/>
              <w:keepNext/>
            </w:pPr>
            <w:r w:rsidRPr="00BE4490">
              <w:rPr>
                <w:color w:val="00B050"/>
              </w:rPr>
              <w:t>Subgrade Preparation</w:t>
            </w:r>
          </w:p>
        </w:tc>
        <w:tc>
          <w:tcPr>
            <w:tcW w:w="1431" w:type="dxa"/>
            <w:tcBorders>
              <w:top w:val="single" w:sz="8" w:space="0" w:color="000000"/>
              <w:left w:val="single" w:sz="6" w:space="0" w:color="000000"/>
              <w:bottom w:val="single" w:sz="8" w:space="0" w:color="000000"/>
              <w:right w:val="single" w:sz="10" w:space="0" w:color="000000"/>
            </w:tcBorders>
          </w:tcPr>
          <w:p w14:paraId="33CBFB8F" w14:textId="77777777" w:rsidR="001D65C1" w:rsidRPr="00A23B02" w:rsidRDefault="001D65C1" w:rsidP="00CE24A9">
            <w:pPr>
              <w:pStyle w:val="TableText"/>
              <w:keepN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14:paraId="337E5EBD" w14:textId="77777777" w:rsidR="001D65C1" w:rsidRPr="00A23B02" w:rsidRDefault="001D65C1" w:rsidP="00CE24A9">
            <w:pPr>
              <w:pStyle w:val="TableText"/>
              <w:keepN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12053E92" w14:textId="77777777" w:rsidR="001D65C1" w:rsidRPr="00A23B02" w:rsidRDefault="001D65C1" w:rsidP="00CE24A9">
            <w:pPr>
              <w:pStyle w:val="TableText"/>
              <w:keepN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14:paraId="6E3E2C92" w14:textId="77777777" w:rsidR="001D65C1" w:rsidRPr="00A23B02" w:rsidRDefault="001D65C1" w:rsidP="00CE24A9">
            <w:pPr>
              <w:pStyle w:val="TableText"/>
              <w:keepN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6240CC75" w14:textId="77777777" w:rsidR="001D65C1" w:rsidRPr="00A23B02" w:rsidRDefault="001D65C1" w:rsidP="00CE24A9">
            <w:pPr>
              <w:pStyle w:val="TableText"/>
              <w:keepNext/>
              <w:jc w:val="center"/>
              <w:rPr>
                <w:rFonts w:cs="Arial"/>
                <w:color w:val="00B050"/>
                <w:szCs w:val="18"/>
              </w:rPr>
            </w:pPr>
            <w:r w:rsidRPr="00BE4490">
              <w:rPr>
                <w:rFonts w:cs="Arial"/>
                <w:color w:val="00B050"/>
                <w:szCs w:val="18"/>
              </w:rPr>
              <w:t>Smooth and Clean</w:t>
            </w:r>
          </w:p>
        </w:tc>
      </w:tr>
      <w:tr w:rsidR="001D65C1" w:rsidRPr="00A23B02" w14:paraId="6AA35883"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27C140EB" w14:textId="77777777" w:rsidR="001D65C1" w:rsidRPr="00A23B02" w:rsidRDefault="001D65C1" w:rsidP="00CE24A9">
            <w:pPr>
              <w:pStyle w:val="TableText"/>
            </w:pPr>
            <w:r w:rsidRPr="00BE4490">
              <w:rPr>
                <w:color w:val="00B050"/>
              </w:rPr>
              <w:t>Asphalt Paver &amp; Hopper</w:t>
            </w:r>
          </w:p>
        </w:tc>
        <w:tc>
          <w:tcPr>
            <w:tcW w:w="1431" w:type="dxa"/>
            <w:tcBorders>
              <w:top w:val="single" w:sz="8" w:space="0" w:color="000000"/>
              <w:left w:val="single" w:sz="6" w:space="0" w:color="000000"/>
              <w:bottom w:val="single" w:sz="8" w:space="0" w:color="000000"/>
              <w:right w:val="single" w:sz="10" w:space="0" w:color="000000"/>
            </w:tcBorders>
          </w:tcPr>
          <w:p w14:paraId="3BE43A6F" w14:textId="77777777" w:rsidR="001D65C1" w:rsidRPr="00A23B02" w:rsidRDefault="001D65C1" w:rsidP="00CE24A9">
            <w:pPr>
              <w:pStyle w:val="TableText"/>
              <w:jc w:val="center"/>
              <w:rPr>
                <w:rFonts w:cs="Arial"/>
                <w:color w:val="00B050"/>
                <w:szCs w:val="18"/>
              </w:rPr>
            </w:pPr>
            <w:r w:rsidRPr="00BE4490">
              <w:rPr>
                <w:rFonts w:cs="Arial"/>
                <w:color w:val="00B050"/>
                <w:szCs w:val="18"/>
              </w:rPr>
              <w:t>Visual and Measure</w:t>
            </w:r>
          </w:p>
        </w:tc>
        <w:tc>
          <w:tcPr>
            <w:tcW w:w="1980" w:type="dxa"/>
            <w:tcBorders>
              <w:top w:val="single" w:sz="8" w:space="0" w:color="000000"/>
              <w:left w:val="single" w:sz="10" w:space="0" w:color="000000"/>
              <w:bottom w:val="single" w:sz="8" w:space="0" w:color="000000"/>
              <w:right w:val="single" w:sz="10" w:space="0" w:color="000000"/>
            </w:tcBorders>
          </w:tcPr>
          <w:p w14:paraId="3DA27D9B"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1DB96F83" w14:textId="77777777"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14:paraId="6DF7C403"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5527959C" w14:textId="77777777" w:rsidR="001D65C1" w:rsidRPr="00A23B02" w:rsidRDefault="001D65C1" w:rsidP="00CE24A9">
            <w:pPr>
              <w:pStyle w:val="TableText"/>
              <w:jc w:val="center"/>
              <w:rPr>
                <w:rFonts w:cs="Arial"/>
                <w:color w:val="00B050"/>
                <w:szCs w:val="18"/>
              </w:rPr>
            </w:pPr>
            <w:r w:rsidRPr="00BE4490">
              <w:rPr>
                <w:rFonts w:cs="Arial"/>
                <w:color w:val="00B050"/>
                <w:szCs w:val="18"/>
              </w:rPr>
              <w:t>Manufacturer Standards</w:t>
            </w:r>
          </w:p>
        </w:tc>
      </w:tr>
      <w:tr w:rsidR="001D65C1" w:rsidRPr="00A23B02" w14:paraId="04A1173B"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17878770" w14:textId="77777777" w:rsidR="001D65C1" w:rsidRPr="00A23B02" w:rsidRDefault="001D65C1" w:rsidP="00CE24A9">
            <w:pPr>
              <w:pStyle w:val="TableText"/>
            </w:pPr>
            <w:r w:rsidRPr="00BE4490">
              <w:rPr>
                <w:color w:val="00B050"/>
              </w:rPr>
              <w:t>Compaction Equipment</w:t>
            </w:r>
          </w:p>
        </w:tc>
        <w:tc>
          <w:tcPr>
            <w:tcW w:w="1431" w:type="dxa"/>
            <w:tcBorders>
              <w:top w:val="single" w:sz="8" w:space="0" w:color="000000"/>
              <w:left w:val="single" w:sz="6" w:space="0" w:color="000000"/>
              <w:bottom w:val="single" w:sz="8" w:space="0" w:color="000000"/>
              <w:right w:val="single" w:sz="10" w:space="0" w:color="000000"/>
            </w:tcBorders>
          </w:tcPr>
          <w:p w14:paraId="4563921A" w14:textId="77777777" w:rsidR="001D65C1" w:rsidRPr="00A23B02" w:rsidRDefault="001D65C1" w:rsidP="00CE24A9">
            <w:pPr>
              <w:pStyle w:val="TableText"/>
              <w:jc w:val="center"/>
              <w:rPr>
                <w:rFonts w:cs="Arial"/>
                <w:color w:val="00B050"/>
                <w:szCs w:val="18"/>
              </w:rPr>
            </w:pPr>
            <w:r w:rsidRPr="00BE4490">
              <w:rPr>
                <w:rFonts w:cs="Arial"/>
                <w:color w:val="00B050"/>
                <w:szCs w:val="18"/>
              </w:rPr>
              <w:t>Visual and Measure</w:t>
            </w:r>
          </w:p>
        </w:tc>
        <w:tc>
          <w:tcPr>
            <w:tcW w:w="1980" w:type="dxa"/>
            <w:tcBorders>
              <w:top w:val="single" w:sz="8" w:space="0" w:color="000000"/>
              <w:left w:val="single" w:sz="10" w:space="0" w:color="000000"/>
              <w:bottom w:val="single" w:sz="8" w:space="0" w:color="000000"/>
              <w:right w:val="single" w:sz="10" w:space="0" w:color="000000"/>
            </w:tcBorders>
          </w:tcPr>
          <w:p w14:paraId="17E8D50D"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5A4212E3" w14:textId="77777777"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14:paraId="33DB6D07"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03F261DD" w14:textId="77777777" w:rsidR="001D65C1" w:rsidRPr="00A23B02" w:rsidRDefault="001D65C1" w:rsidP="00CE24A9">
            <w:pPr>
              <w:pStyle w:val="TableText"/>
              <w:jc w:val="center"/>
              <w:rPr>
                <w:rFonts w:cs="Arial"/>
                <w:color w:val="00B050"/>
                <w:szCs w:val="18"/>
              </w:rPr>
            </w:pPr>
            <w:r w:rsidRPr="00BE4490">
              <w:rPr>
                <w:rFonts w:cs="Arial"/>
                <w:color w:val="00B050"/>
                <w:szCs w:val="18"/>
              </w:rPr>
              <w:t>Manufacturer Standards</w:t>
            </w:r>
          </w:p>
        </w:tc>
      </w:tr>
      <w:tr w:rsidR="001D65C1" w:rsidRPr="00A23B02" w14:paraId="2D1FE4DD"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3304F1E6" w14:textId="77777777" w:rsidR="001D65C1" w:rsidRPr="00A23B02" w:rsidRDefault="001D65C1" w:rsidP="00CE24A9">
            <w:pPr>
              <w:pStyle w:val="TableText"/>
            </w:pPr>
            <w:r w:rsidRPr="00BE4490">
              <w:rPr>
                <w:color w:val="00B050"/>
              </w:rPr>
              <w:t>Compaction Process</w:t>
            </w:r>
          </w:p>
        </w:tc>
        <w:tc>
          <w:tcPr>
            <w:tcW w:w="1431" w:type="dxa"/>
            <w:tcBorders>
              <w:top w:val="single" w:sz="8" w:space="0" w:color="000000"/>
              <w:left w:val="single" w:sz="6" w:space="0" w:color="000000"/>
              <w:bottom w:val="single" w:sz="8" w:space="0" w:color="000000"/>
              <w:right w:val="single" w:sz="10" w:space="0" w:color="000000"/>
            </w:tcBorders>
          </w:tcPr>
          <w:p w14:paraId="5FC0D89F" w14:textId="77777777"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14:paraId="04434453" w14:textId="77777777" w:rsidR="001D65C1" w:rsidRPr="00A23B02" w:rsidRDefault="001D65C1" w:rsidP="00CE24A9">
            <w:pPr>
              <w:pStyle w:val="TableText"/>
              <w:jc w:val="center"/>
              <w:rPr>
                <w:rFonts w:cs="Arial"/>
                <w:color w:val="00B050"/>
                <w:szCs w:val="18"/>
              </w:rPr>
            </w:pPr>
            <w:r w:rsidRPr="00BE4490">
              <w:rPr>
                <w:rFonts w:cs="Arial"/>
                <w:color w:val="00B050"/>
                <w:szCs w:val="18"/>
              </w:rPr>
              <w:t>Continuous</w:t>
            </w:r>
          </w:p>
        </w:tc>
        <w:tc>
          <w:tcPr>
            <w:tcW w:w="1980" w:type="dxa"/>
            <w:tcBorders>
              <w:top w:val="single" w:sz="8" w:space="0" w:color="000000"/>
              <w:left w:val="single" w:sz="10" w:space="0" w:color="000000"/>
              <w:bottom w:val="single" w:sz="8" w:space="0" w:color="000000"/>
              <w:right w:val="single" w:sz="10" w:space="0" w:color="000000"/>
            </w:tcBorders>
          </w:tcPr>
          <w:p w14:paraId="23A0E198" w14:textId="77777777"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14:paraId="6DFB5BF5"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5F03BABE"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14:paraId="38AE2689"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3B9BC3F5" w14:textId="77777777" w:rsidR="001D65C1" w:rsidRPr="00A23B02" w:rsidRDefault="001D65C1" w:rsidP="00CE24A9">
            <w:pPr>
              <w:pStyle w:val="TableText"/>
            </w:pPr>
            <w:r w:rsidRPr="00BE4490">
              <w:rPr>
                <w:color w:val="00B050"/>
              </w:rPr>
              <w:t>Pavement Temp. at Breakdown</w:t>
            </w:r>
          </w:p>
        </w:tc>
        <w:tc>
          <w:tcPr>
            <w:tcW w:w="1431" w:type="dxa"/>
            <w:tcBorders>
              <w:top w:val="single" w:sz="8" w:space="0" w:color="000000"/>
              <w:left w:val="single" w:sz="6" w:space="0" w:color="000000"/>
              <w:bottom w:val="single" w:sz="8" w:space="0" w:color="000000"/>
              <w:right w:val="single" w:sz="10" w:space="0" w:color="000000"/>
            </w:tcBorders>
          </w:tcPr>
          <w:p w14:paraId="61B96764" w14:textId="77777777" w:rsidR="001D65C1" w:rsidRPr="00A23B02" w:rsidRDefault="001D65C1" w:rsidP="00CE24A9">
            <w:pPr>
              <w:pStyle w:val="TableText"/>
              <w:jc w:val="center"/>
              <w:rPr>
                <w:rFonts w:cs="Arial"/>
                <w:color w:val="00B050"/>
                <w:szCs w:val="18"/>
              </w:rPr>
            </w:pPr>
            <w:r w:rsidRPr="00BE4490">
              <w:rPr>
                <w:rFonts w:cs="Arial"/>
                <w:color w:val="00B050"/>
                <w:szCs w:val="18"/>
              </w:rPr>
              <w:t>Temperature Equip</w:t>
            </w:r>
            <w:r>
              <w:rPr>
                <w:rFonts w:cs="Arial"/>
                <w:color w:val="00B050"/>
                <w:szCs w:val="18"/>
              </w:rPr>
              <w:t>ment</w:t>
            </w:r>
          </w:p>
        </w:tc>
        <w:tc>
          <w:tcPr>
            <w:tcW w:w="1980" w:type="dxa"/>
            <w:tcBorders>
              <w:top w:val="single" w:sz="8" w:space="0" w:color="000000"/>
              <w:left w:val="single" w:sz="10" w:space="0" w:color="000000"/>
              <w:bottom w:val="single" w:sz="8" w:space="0" w:color="000000"/>
              <w:right w:val="single" w:sz="10" w:space="0" w:color="000000"/>
            </w:tcBorders>
          </w:tcPr>
          <w:p w14:paraId="20C05BEB" w14:textId="77777777"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14:paraId="0E931220" w14:textId="77777777"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14:paraId="3B2B219A"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00B4F1D5"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14:paraId="34076284"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0C092B6B" w14:textId="77777777" w:rsidR="001D65C1" w:rsidRPr="00A23B02" w:rsidRDefault="001D65C1" w:rsidP="00CE24A9">
            <w:pPr>
              <w:pStyle w:val="TableText"/>
            </w:pPr>
            <w:r w:rsidRPr="00BE4490">
              <w:rPr>
                <w:color w:val="00B050"/>
              </w:rPr>
              <w:t>Asphalt Binder Content</w:t>
            </w:r>
          </w:p>
        </w:tc>
        <w:tc>
          <w:tcPr>
            <w:tcW w:w="1431" w:type="dxa"/>
            <w:tcBorders>
              <w:top w:val="single" w:sz="8" w:space="0" w:color="000000"/>
              <w:left w:val="single" w:sz="6" w:space="0" w:color="000000"/>
              <w:bottom w:val="single" w:sz="8" w:space="0" w:color="000000"/>
              <w:right w:val="single" w:sz="10" w:space="0" w:color="000000"/>
            </w:tcBorders>
          </w:tcPr>
          <w:p w14:paraId="56D3580D" w14:textId="77777777" w:rsidR="001D65C1" w:rsidRPr="00A23B02" w:rsidRDefault="001D65C1" w:rsidP="00CE24A9">
            <w:pPr>
              <w:pStyle w:val="TableText"/>
              <w:jc w:val="center"/>
              <w:rPr>
                <w:rFonts w:cs="Arial"/>
                <w:color w:val="00B050"/>
                <w:szCs w:val="18"/>
              </w:rPr>
            </w:pPr>
            <w:r w:rsidRPr="00BE4490">
              <w:rPr>
                <w:rFonts w:cs="Arial"/>
                <w:color w:val="00B050"/>
                <w:szCs w:val="18"/>
              </w:rPr>
              <w:t>CT 382</w:t>
            </w:r>
          </w:p>
        </w:tc>
        <w:tc>
          <w:tcPr>
            <w:tcW w:w="1980" w:type="dxa"/>
            <w:tcBorders>
              <w:top w:val="single" w:sz="8" w:space="0" w:color="000000"/>
              <w:left w:val="single" w:sz="10" w:space="0" w:color="000000"/>
              <w:bottom w:val="single" w:sz="8" w:space="0" w:color="000000"/>
              <w:right w:val="single" w:sz="10" w:space="0" w:color="000000"/>
            </w:tcBorders>
          </w:tcPr>
          <w:p w14:paraId="04E5BCB3"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7C84C78F" w14:textId="77777777"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14:paraId="0CE8C36C" w14:textId="77777777" w:rsidR="001D65C1" w:rsidRPr="00A23B02" w:rsidRDefault="001D65C1" w:rsidP="00CE24A9">
            <w:pPr>
              <w:pStyle w:val="TableText"/>
              <w:jc w:val="center"/>
              <w:rPr>
                <w:rFonts w:cs="Arial"/>
                <w:color w:val="00B050"/>
                <w:szCs w:val="18"/>
              </w:rPr>
            </w:pPr>
            <w:r>
              <w:rPr>
                <w:rFonts w:cs="Arial"/>
                <w:color w:val="00B050"/>
                <w:szCs w:val="18"/>
              </w:rPr>
              <w:t>Field Inspector</w:t>
            </w:r>
            <w:r w:rsidRPr="00BE4490">
              <w:rPr>
                <w:rFonts w:cs="Arial"/>
                <w:color w:val="00B050"/>
                <w:szCs w:val="18"/>
              </w:rPr>
              <w:t>/Tester</w:t>
            </w:r>
          </w:p>
        </w:tc>
        <w:tc>
          <w:tcPr>
            <w:tcW w:w="2350" w:type="dxa"/>
            <w:gridSpan w:val="2"/>
            <w:tcBorders>
              <w:top w:val="single" w:sz="8" w:space="0" w:color="000000"/>
              <w:left w:val="single" w:sz="8" w:space="0" w:color="000000"/>
              <w:bottom w:val="single" w:sz="8" w:space="0" w:color="000000"/>
              <w:right w:val="single" w:sz="8" w:space="0" w:color="000000"/>
            </w:tcBorders>
          </w:tcPr>
          <w:p w14:paraId="589DAD1F" w14:textId="77777777" w:rsidR="001D65C1" w:rsidRPr="00A23B02" w:rsidRDefault="001D65C1" w:rsidP="00CE24A9">
            <w:pPr>
              <w:pStyle w:val="TableText"/>
              <w:jc w:val="center"/>
              <w:rPr>
                <w:rFonts w:cs="Arial"/>
                <w:color w:val="00B050"/>
                <w:szCs w:val="18"/>
              </w:rPr>
            </w:pPr>
            <w:r w:rsidRPr="00BE4490">
              <w:rPr>
                <w:rFonts w:cs="Arial"/>
                <w:color w:val="00B050"/>
                <w:szCs w:val="18"/>
              </w:rPr>
              <w:t>Design ±</w:t>
            </w:r>
            <w:r>
              <w:rPr>
                <w:rFonts w:cs="Arial"/>
                <w:color w:val="00B050"/>
                <w:szCs w:val="18"/>
              </w:rPr>
              <w:t> </w:t>
            </w:r>
            <w:r w:rsidRPr="00BE4490">
              <w:rPr>
                <w:rFonts w:cs="Arial"/>
                <w:color w:val="00B050"/>
                <w:szCs w:val="18"/>
              </w:rPr>
              <w:t>0.5%</w:t>
            </w:r>
          </w:p>
        </w:tc>
      </w:tr>
      <w:tr w:rsidR="001D65C1" w:rsidRPr="00A23B02" w14:paraId="5B3D51D9"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1A5B3D25" w14:textId="77777777" w:rsidR="001D65C1" w:rsidRPr="00A23B02" w:rsidRDefault="001D65C1" w:rsidP="00CE24A9">
            <w:pPr>
              <w:pStyle w:val="TableText"/>
            </w:pPr>
            <w:r w:rsidRPr="00BE4490">
              <w:rPr>
                <w:color w:val="00B050"/>
              </w:rPr>
              <w:t>HMA Moisture Content (%, max)</w:t>
            </w:r>
          </w:p>
        </w:tc>
        <w:tc>
          <w:tcPr>
            <w:tcW w:w="1431" w:type="dxa"/>
            <w:tcBorders>
              <w:top w:val="single" w:sz="8" w:space="0" w:color="000000"/>
              <w:left w:val="single" w:sz="6" w:space="0" w:color="000000"/>
              <w:bottom w:val="single" w:sz="8" w:space="0" w:color="000000"/>
              <w:right w:val="single" w:sz="10" w:space="0" w:color="000000"/>
            </w:tcBorders>
          </w:tcPr>
          <w:p w14:paraId="39456A17" w14:textId="77777777" w:rsidR="001D65C1" w:rsidRPr="00A23B02" w:rsidRDefault="001D65C1" w:rsidP="00CE24A9">
            <w:pPr>
              <w:pStyle w:val="TableText"/>
              <w:jc w:val="center"/>
              <w:rPr>
                <w:rFonts w:cs="Arial"/>
                <w:color w:val="00B050"/>
                <w:szCs w:val="18"/>
              </w:rPr>
            </w:pPr>
            <w:r w:rsidRPr="00BE4490">
              <w:rPr>
                <w:rFonts w:cs="Arial"/>
                <w:color w:val="00B050"/>
                <w:szCs w:val="18"/>
              </w:rPr>
              <w:t>CT 226</w:t>
            </w:r>
          </w:p>
        </w:tc>
        <w:tc>
          <w:tcPr>
            <w:tcW w:w="1980" w:type="dxa"/>
            <w:tcBorders>
              <w:top w:val="single" w:sz="8" w:space="0" w:color="000000"/>
              <w:left w:val="single" w:sz="10" w:space="0" w:color="000000"/>
              <w:bottom w:val="single" w:sz="8" w:space="0" w:color="000000"/>
              <w:right w:val="single" w:sz="10" w:space="0" w:color="000000"/>
            </w:tcBorders>
          </w:tcPr>
          <w:p w14:paraId="3703D04B"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285AA237" w14:textId="77777777"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14:paraId="380DF112" w14:textId="77777777" w:rsidR="001D65C1" w:rsidRPr="00A23B02" w:rsidRDefault="001D65C1" w:rsidP="00CE24A9">
            <w:pPr>
              <w:pStyle w:val="TableText"/>
              <w:jc w:val="center"/>
              <w:rPr>
                <w:rFonts w:cs="Arial"/>
                <w:color w:val="00B050"/>
                <w:szCs w:val="18"/>
              </w:rPr>
            </w:pPr>
            <w:r>
              <w:rPr>
                <w:rFonts w:cs="Arial"/>
                <w:color w:val="00B050"/>
                <w:szCs w:val="18"/>
              </w:rPr>
              <w:t>Field Inspector</w:t>
            </w:r>
            <w:r w:rsidRPr="00BE4490">
              <w:rPr>
                <w:rFonts w:cs="Arial"/>
                <w:color w:val="00B050"/>
                <w:szCs w:val="18"/>
              </w:rPr>
              <w:t>/Tester</w:t>
            </w:r>
          </w:p>
        </w:tc>
        <w:tc>
          <w:tcPr>
            <w:tcW w:w="2350" w:type="dxa"/>
            <w:gridSpan w:val="2"/>
            <w:tcBorders>
              <w:top w:val="single" w:sz="8" w:space="0" w:color="000000"/>
              <w:left w:val="single" w:sz="8" w:space="0" w:color="000000"/>
              <w:bottom w:val="single" w:sz="8" w:space="0" w:color="000000"/>
              <w:right w:val="single" w:sz="8" w:space="0" w:color="000000"/>
            </w:tcBorders>
          </w:tcPr>
          <w:p w14:paraId="09E61842" w14:textId="77777777" w:rsidR="001D65C1" w:rsidRPr="00A23B02" w:rsidRDefault="001D65C1" w:rsidP="00CE24A9">
            <w:pPr>
              <w:pStyle w:val="TableText"/>
              <w:jc w:val="center"/>
              <w:rPr>
                <w:rFonts w:cs="Arial"/>
                <w:color w:val="00B050"/>
                <w:szCs w:val="18"/>
              </w:rPr>
            </w:pPr>
            <w:r w:rsidRPr="00BE4490">
              <w:rPr>
                <w:rFonts w:cs="Arial"/>
                <w:color w:val="00B050"/>
                <w:szCs w:val="18"/>
              </w:rPr>
              <w:t>1.0</w:t>
            </w:r>
          </w:p>
        </w:tc>
      </w:tr>
      <w:tr w:rsidR="001D65C1" w:rsidRPr="00A23B02" w14:paraId="71721B75"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5A79E2AC" w14:textId="77777777" w:rsidR="001D65C1" w:rsidRPr="00A23B02" w:rsidRDefault="001D65C1" w:rsidP="00CE24A9">
            <w:pPr>
              <w:pStyle w:val="TableText"/>
            </w:pPr>
            <w:r w:rsidRPr="00BE4490">
              <w:rPr>
                <w:color w:val="00B050"/>
              </w:rPr>
              <w:t>Lift Thickness</w:t>
            </w:r>
          </w:p>
        </w:tc>
        <w:tc>
          <w:tcPr>
            <w:tcW w:w="1431" w:type="dxa"/>
            <w:tcBorders>
              <w:top w:val="single" w:sz="8" w:space="0" w:color="000000"/>
              <w:left w:val="single" w:sz="6" w:space="0" w:color="000000"/>
              <w:bottom w:val="single" w:sz="8" w:space="0" w:color="000000"/>
              <w:right w:val="single" w:sz="10" w:space="0" w:color="000000"/>
            </w:tcBorders>
          </w:tcPr>
          <w:p w14:paraId="10F9CF75" w14:textId="77777777" w:rsidR="001D65C1" w:rsidRPr="00A23B02" w:rsidRDefault="001D65C1" w:rsidP="00CE24A9">
            <w:pPr>
              <w:pStyle w:val="TableText"/>
              <w:jc w:val="center"/>
              <w:rPr>
                <w:rFonts w:cs="Arial"/>
                <w:color w:val="00B050"/>
                <w:szCs w:val="18"/>
              </w:rPr>
            </w:pPr>
            <w:r w:rsidRPr="00BE4490">
              <w:rPr>
                <w:rFonts w:cs="Arial"/>
                <w:color w:val="00B050"/>
                <w:szCs w:val="18"/>
              </w:rPr>
              <w:t>Measured</w:t>
            </w:r>
          </w:p>
        </w:tc>
        <w:tc>
          <w:tcPr>
            <w:tcW w:w="1980" w:type="dxa"/>
            <w:tcBorders>
              <w:top w:val="single" w:sz="8" w:space="0" w:color="000000"/>
              <w:left w:val="single" w:sz="10" w:space="0" w:color="000000"/>
              <w:bottom w:val="single" w:sz="8" w:space="0" w:color="000000"/>
              <w:right w:val="single" w:sz="10" w:space="0" w:color="000000"/>
            </w:tcBorders>
          </w:tcPr>
          <w:p w14:paraId="5A986F5A" w14:textId="77777777"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14:paraId="24F4C436" w14:textId="77777777"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14:paraId="5D181066"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7F3A0F83"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14:paraId="1AEEF26B" w14:textId="77777777"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14:paraId="419455E8" w14:textId="77777777" w:rsidR="001D65C1" w:rsidRPr="00A23B02" w:rsidRDefault="001D65C1" w:rsidP="00CE24A9">
            <w:pPr>
              <w:pStyle w:val="TableText"/>
            </w:pPr>
            <w:r w:rsidRPr="00BE4490">
              <w:rPr>
                <w:color w:val="00B050"/>
              </w:rPr>
              <w:t>Pavement Temp. at Finish</w:t>
            </w:r>
          </w:p>
        </w:tc>
        <w:tc>
          <w:tcPr>
            <w:tcW w:w="1431" w:type="dxa"/>
            <w:tcBorders>
              <w:top w:val="single" w:sz="8" w:space="0" w:color="000000"/>
              <w:left w:val="single" w:sz="6" w:space="0" w:color="000000"/>
              <w:bottom w:val="single" w:sz="8" w:space="0" w:color="000000"/>
              <w:right w:val="single" w:sz="10" w:space="0" w:color="000000"/>
            </w:tcBorders>
          </w:tcPr>
          <w:p w14:paraId="72B08F9A" w14:textId="77777777" w:rsidR="001D65C1" w:rsidRPr="00A23B02" w:rsidRDefault="001D65C1" w:rsidP="00CE24A9">
            <w:pPr>
              <w:pStyle w:val="TableText"/>
              <w:jc w:val="center"/>
              <w:rPr>
                <w:rFonts w:cs="Arial"/>
                <w:color w:val="00B050"/>
                <w:szCs w:val="18"/>
              </w:rPr>
            </w:pPr>
            <w:r w:rsidRPr="00BE4490">
              <w:rPr>
                <w:rFonts w:cs="Arial"/>
                <w:color w:val="00B050"/>
                <w:szCs w:val="18"/>
              </w:rPr>
              <w:t>Temperature Equip</w:t>
            </w:r>
            <w:r>
              <w:rPr>
                <w:rFonts w:cs="Arial"/>
                <w:color w:val="00B050"/>
                <w:szCs w:val="18"/>
              </w:rPr>
              <w:t>ment</w:t>
            </w:r>
          </w:p>
        </w:tc>
        <w:tc>
          <w:tcPr>
            <w:tcW w:w="1980" w:type="dxa"/>
            <w:tcBorders>
              <w:top w:val="single" w:sz="8" w:space="0" w:color="000000"/>
              <w:left w:val="single" w:sz="10" w:space="0" w:color="000000"/>
              <w:bottom w:val="single" w:sz="8" w:space="0" w:color="000000"/>
              <w:right w:val="single" w:sz="10" w:space="0" w:color="000000"/>
            </w:tcBorders>
          </w:tcPr>
          <w:p w14:paraId="7A81FD7B"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67E63F4F" w14:textId="77777777" w:rsidR="001D65C1" w:rsidRPr="00A23B02" w:rsidRDefault="001D65C1" w:rsidP="00CE24A9">
            <w:pPr>
              <w:pStyle w:val="TableText"/>
              <w:jc w:val="center"/>
              <w:rPr>
                <w:rFonts w:cs="Arial"/>
                <w:color w:val="00B050"/>
                <w:szCs w:val="18"/>
              </w:rPr>
            </w:pPr>
            <w:r w:rsidRPr="00BE4490">
              <w:rPr>
                <w:rFonts w:cs="Arial"/>
                <w:color w:val="00B050"/>
                <w:szCs w:val="18"/>
              </w:rPr>
              <w:t>At Finish Roller</w:t>
            </w:r>
          </w:p>
        </w:tc>
        <w:tc>
          <w:tcPr>
            <w:tcW w:w="1980" w:type="dxa"/>
            <w:tcBorders>
              <w:top w:val="single" w:sz="8" w:space="0" w:color="000000"/>
              <w:left w:val="single" w:sz="10" w:space="0" w:color="000000"/>
              <w:bottom w:val="single" w:sz="8" w:space="0" w:color="000000"/>
              <w:right w:val="single" w:sz="8" w:space="0" w:color="000000"/>
            </w:tcBorders>
          </w:tcPr>
          <w:p w14:paraId="07179BA2"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2FBA58D7"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14:paraId="7D639266" w14:textId="77777777" w:rsidTr="00CE24A9">
        <w:trPr>
          <w:cantSplit/>
          <w:trHeight w:val="730"/>
        </w:trPr>
        <w:tc>
          <w:tcPr>
            <w:tcW w:w="3239" w:type="dxa"/>
            <w:tcBorders>
              <w:top w:val="single" w:sz="8" w:space="0" w:color="000000"/>
              <w:left w:val="single" w:sz="8" w:space="0" w:color="000000"/>
              <w:bottom w:val="single" w:sz="8" w:space="0" w:color="000000"/>
              <w:right w:val="single" w:sz="6" w:space="0" w:color="000000"/>
            </w:tcBorders>
          </w:tcPr>
          <w:p w14:paraId="5BD6C331" w14:textId="77777777" w:rsidR="001D65C1" w:rsidRPr="00A23B02" w:rsidRDefault="001D65C1" w:rsidP="00CE24A9">
            <w:pPr>
              <w:pStyle w:val="TableText"/>
            </w:pPr>
            <w:r w:rsidRPr="00BE4490">
              <w:rPr>
                <w:color w:val="00B050"/>
              </w:rPr>
              <w:t>Air Void Content by Paraffin Wax (%)</w:t>
            </w:r>
          </w:p>
        </w:tc>
        <w:tc>
          <w:tcPr>
            <w:tcW w:w="1431" w:type="dxa"/>
            <w:tcBorders>
              <w:top w:val="single" w:sz="8" w:space="0" w:color="000000"/>
              <w:left w:val="single" w:sz="6" w:space="0" w:color="000000"/>
              <w:bottom w:val="single" w:sz="8" w:space="0" w:color="000000"/>
              <w:right w:val="single" w:sz="10" w:space="0" w:color="000000"/>
            </w:tcBorders>
          </w:tcPr>
          <w:p w14:paraId="590B2436" w14:textId="77777777" w:rsidR="001D65C1" w:rsidRPr="00A23B02" w:rsidRDefault="001D65C1" w:rsidP="00CE24A9">
            <w:pPr>
              <w:pStyle w:val="TableText"/>
              <w:jc w:val="center"/>
              <w:rPr>
                <w:rFonts w:cs="Arial"/>
                <w:color w:val="00B050"/>
                <w:szCs w:val="18"/>
              </w:rPr>
            </w:pPr>
            <w:r w:rsidRPr="00BE4490">
              <w:rPr>
                <w:rFonts w:cs="Arial"/>
                <w:color w:val="00B050"/>
                <w:szCs w:val="18"/>
              </w:rPr>
              <w:t>AASHTO</w:t>
            </w:r>
            <w:r>
              <w:rPr>
                <w:rFonts w:cs="Arial"/>
                <w:color w:val="00B050"/>
                <w:szCs w:val="18"/>
              </w:rPr>
              <w:t> </w:t>
            </w:r>
            <w:r w:rsidRPr="00BE4490">
              <w:rPr>
                <w:rFonts w:cs="Arial"/>
                <w:color w:val="00B050"/>
                <w:szCs w:val="18"/>
              </w:rPr>
              <w:t xml:space="preserve">T275 </w:t>
            </w:r>
            <w:r w:rsidRPr="00BE4490">
              <w:rPr>
                <w:rFonts w:cs="Arial"/>
                <w:color w:val="00B050"/>
                <w:szCs w:val="18"/>
              </w:rPr>
              <w:br/>
              <w:t>(with AASHTO T209 and ASTM D3203)</w:t>
            </w:r>
          </w:p>
        </w:tc>
        <w:tc>
          <w:tcPr>
            <w:tcW w:w="1980" w:type="dxa"/>
            <w:tcBorders>
              <w:top w:val="single" w:sz="8" w:space="0" w:color="000000"/>
              <w:left w:val="single" w:sz="10" w:space="0" w:color="000000"/>
              <w:bottom w:val="single" w:sz="8" w:space="0" w:color="000000"/>
              <w:right w:val="single" w:sz="10" w:space="0" w:color="000000"/>
            </w:tcBorders>
          </w:tcPr>
          <w:p w14:paraId="1B791DA9"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1073A168" w14:textId="77777777" w:rsidR="001D65C1" w:rsidRPr="00A23B02" w:rsidRDefault="001D65C1" w:rsidP="00CE24A9">
            <w:pPr>
              <w:pStyle w:val="TableText"/>
              <w:jc w:val="center"/>
              <w:rPr>
                <w:rFonts w:cs="Arial"/>
                <w:color w:val="00B050"/>
                <w:szCs w:val="18"/>
              </w:rPr>
            </w:pPr>
            <w:r w:rsidRPr="00BE4490">
              <w:rPr>
                <w:rFonts w:cs="Arial"/>
                <w:color w:val="00B050"/>
                <w:szCs w:val="18"/>
              </w:rPr>
              <w:t>Cores of Finished Surface</w:t>
            </w:r>
          </w:p>
        </w:tc>
        <w:tc>
          <w:tcPr>
            <w:tcW w:w="1980" w:type="dxa"/>
            <w:tcBorders>
              <w:top w:val="single" w:sz="8" w:space="0" w:color="000000"/>
              <w:left w:val="single" w:sz="10" w:space="0" w:color="000000"/>
              <w:bottom w:val="single" w:sz="8" w:space="0" w:color="000000"/>
              <w:right w:val="single" w:sz="8" w:space="0" w:color="000000"/>
            </w:tcBorders>
          </w:tcPr>
          <w:p w14:paraId="3F03D16C"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1085F062" w14:textId="77777777" w:rsidR="001D65C1" w:rsidRPr="00A23B02" w:rsidRDefault="001D65C1" w:rsidP="00CE24A9">
            <w:pPr>
              <w:pStyle w:val="TableText"/>
              <w:jc w:val="center"/>
              <w:rPr>
                <w:rFonts w:cs="Arial"/>
                <w:color w:val="00B050"/>
                <w:szCs w:val="18"/>
              </w:rPr>
            </w:pPr>
            <w:r w:rsidRPr="00BE4490">
              <w:rPr>
                <w:rFonts w:cs="Arial"/>
                <w:color w:val="00B050"/>
                <w:szCs w:val="18"/>
              </w:rPr>
              <w:t>16–20%</w:t>
            </w:r>
          </w:p>
        </w:tc>
      </w:tr>
      <w:tr w:rsidR="001D65C1" w:rsidRPr="00A23B02" w14:paraId="46F87004" w14:textId="77777777" w:rsidTr="00CE24A9">
        <w:trPr>
          <w:cantSplit/>
          <w:trHeight w:val="730"/>
        </w:trPr>
        <w:tc>
          <w:tcPr>
            <w:tcW w:w="3239" w:type="dxa"/>
            <w:tcBorders>
              <w:top w:val="single" w:sz="8" w:space="0" w:color="000000"/>
              <w:left w:val="single" w:sz="8" w:space="0" w:color="000000"/>
              <w:bottom w:val="single" w:sz="8" w:space="0" w:color="000000"/>
              <w:right w:val="single" w:sz="6" w:space="0" w:color="000000"/>
            </w:tcBorders>
          </w:tcPr>
          <w:p w14:paraId="6FF45919" w14:textId="77777777" w:rsidR="001D65C1" w:rsidRPr="00A23B02" w:rsidRDefault="001D65C1" w:rsidP="00CE24A9">
            <w:pPr>
              <w:pStyle w:val="TableText"/>
            </w:pPr>
            <w:r w:rsidRPr="00BE4490">
              <w:rPr>
                <w:color w:val="00B050"/>
              </w:rPr>
              <w:t>Tensile Strength</w:t>
            </w:r>
          </w:p>
        </w:tc>
        <w:tc>
          <w:tcPr>
            <w:tcW w:w="1431" w:type="dxa"/>
            <w:tcBorders>
              <w:top w:val="single" w:sz="8" w:space="0" w:color="000000"/>
              <w:left w:val="single" w:sz="6" w:space="0" w:color="000000"/>
              <w:bottom w:val="single" w:sz="8" w:space="0" w:color="000000"/>
              <w:right w:val="single" w:sz="10" w:space="0" w:color="000000"/>
            </w:tcBorders>
          </w:tcPr>
          <w:p w14:paraId="0C0B12A4" w14:textId="77777777" w:rsidR="001D65C1" w:rsidRPr="00A23B02" w:rsidRDefault="001D65C1" w:rsidP="00CE24A9">
            <w:pPr>
              <w:pStyle w:val="TableText"/>
              <w:jc w:val="center"/>
              <w:rPr>
                <w:rFonts w:cs="Arial"/>
                <w:color w:val="00B050"/>
                <w:szCs w:val="18"/>
              </w:rPr>
            </w:pPr>
            <w:r w:rsidRPr="00BE4490">
              <w:rPr>
                <w:rFonts w:cs="Arial"/>
                <w:color w:val="00B050"/>
                <w:szCs w:val="18"/>
              </w:rPr>
              <w:t>AASHTO 283</w:t>
            </w:r>
          </w:p>
        </w:tc>
        <w:tc>
          <w:tcPr>
            <w:tcW w:w="1980" w:type="dxa"/>
            <w:tcBorders>
              <w:top w:val="single" w:sz="8" w:space="0" w:color="000000"/>
              <w:left w:val="single" w:sz="10" w:space="0" w:color="000000"/>
              <w:bottom w:val="single" w:sz="8" w:space="0" w:color="000000"/>
              <w:right w:val="single" w:sz="10" w:space="0" w:color="000000"/>
            </w:tcBorders>
          </w:tcPr>
          <w:p w14:paraId="1FD6C91D"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0DEE2578" w14:textId="77777777" w:rsidR="001D65C1" w:rsidRPr="00A23B02" w:rsidRDefault="001D65C1" w:rsidP="00CE24A9">
            <w:pPr>
              <w:pStyle w:val="TableText"/>
              <w:jc w:val="center"/>
              <w:rPr>
                <w:rFonts w:cs="Arial"/>
                <w:color w:val="00B050"/>
                <w:szCs w:val="18"/>
              </w:rPr>
            </w:pPr>
            <w:r w:rsidRPr="00BE4490">
              <w:rPr>
                <w:rFonts w:cs="Arial"/>
                <w:color w:val="00B050"/>
                <w:szCs w:val="18"/>
              </w:rPr>
              <w:t>Cores of Finished Surface</w:t>
            </w:r>
          </w:p>
        </w:tc>
        <w:tc>
          <w:tcPr>
            <w:tcW w:w="1980" w:type="dxa"/>
            <w:tcBorders>
              <w:top w:val="single" w:sz="8" w:space="0" w:color="000000"/>
              <w:left w:val="single" w:sz="10" w:space="0" w:color="000000"/>
              <w:bottom w:val="single" w:sz="8" w:space="0" w:color="000000"/>
              <w:right w:val="single" w:sz="8" w:space="0" w:color="000000"/>
            </w:tcBorders>
          </w:tcPr>
          <w:p w14:paraId="04202E76" w14:textId="77777777" w:rsidR="001D65C1" w:rsidRPr="00A23B02" w:rsidRDefault="001D65C1" w:rsidP="00CE24A9">
            <w:pPr>
              <w:pStyle w:val="TableText"/>
              <w:jc w:val="center"/>
              <w:rPr>
                <w:rFonts w:cs="Arial"/>
                <w:color w:val="00B050"/>
                <w:szCs w:val="18"/>
              </w:rPr>
            </w:pPr>
            <w:r w:rsidRPr="00BE4490">
              <w:rPr>
                <w:rFonts w:cs="Arial"/>
                <w:color w:val="00B050"/>
                <w:szCs w:val="18"/>
              </w:rPr>
              <w:t>Engineer</w:t>
            </w:r>
          </w:p>
        </w:tc>
        <w:tc>
          <w:tcPr>
            <w:tcW w:w="2350" w:type="dxa"/>
            <w:gridSpan w:val="2"/>
            <w:tcBorders>
              <w:top w:val="single" w:sz="8" w:space="0" w:color="000000"/>
              <w:left w:val="single" w:sz="8" w:space="0" w:color="000000"/>
              <w:bottom w:val="single" w:sz="8" w:space="0" w:color="000000"/>
              <w:right w:val="single" w:sz="8" w:space="0" w:color="000000"/>
            </w:tcBorders>
          </w:tcPr>
          <w:p w14:paraId="61A30B61" w14:textId="77777777" w:rsidR="001D65C1" w:rsidRPr="00A23B02" w:rsidRDefault="001D65C1" w:rsidP="00CE24A9">
            <w:pPr>
              <w:pStyle w:val="TableText"/>
              <w:jc w:val="center"/>
              <w:rPr>
                <w:rFonts w:cs="Arial"/>
                <w:color w:val="00B050"/>
                <w:szCs w:val="18"/>
              </w:rPr>
            </w:pPr>
            <w:r w:rsidRPr="00BE4490">
              <w:rPr>
                <w:rFonts w:cs="Arial"/>
                <w:color w:val="00B050"/>
                <w:szCs w:val="18"/>
              </w:rPr>
              <w:t>&gt;= 80%</w:t>
            </w:r>
          </w:p>
        </w:tc>
      </w:tr>
      <w:tr w:rsidR="001D65C1" w:rsidRPr="00A23B02" w14:paraId="08415282" w14:textId="77777777"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14:paraId="43EE12E2" w14:textId="77777777" w:rsidR="001D65C1" w:rsidRPr="00A23B02" w:rsidRDefault="001D65C1" w:rsidP="00CE24A9">
            <w:pPr>
              <w:pStyle w:val="TableText"/>
            </w:pPr>
            <w:r w:rsidRPr="00BE4490">
              <w:rPr>
                <w:color w:val="00B050"/>
              </w:rPr>
              <w:t>Long./Transverse Joints</w:t>
            </w:r>
          </w:p>
        </w:tc>
        <w:tc>
          <w:tcPr>
            <w:tcW w:w="1431" w:type="dxa"/>
            <w:tcBorders>
              <w:top w:val="single" w:sz="8" w:space="0" w:color="000000"/>
              <w:left w:val="single" w:sz="6" w:space="0" w:color="000000"/>
              <w:bottom w:val="single" w:sz="8" w:space="0" w:color="000000"/>
              <w:right w:val="single" w:sz="10" w:space="0" w:color="000000"/>
            </w:tcBorders>
          </w:tcPr>
          <w:p w14:paraId="1F57423E" w14:textId="77777777"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14:paraId="71950BB4" w14:textId="77777777" w:rsidR="001D65C1" w:rsidRPr="00A23B02" w:rsidRDefault="001D65C1" w:rsidP="00CE24A9">
            <w:pPr>
              <w:pStyle w:val="TableText"/>
              <w:jc w:val="center"/>
              <w:rPr>
                <w:rFonts w:cs="Arial"/>
                <w:color w:val="00B050"/>
                <w:szCs w:val="18"/>
              </w:rPr>
            </w:pPr>
            <w:r w:rsidRPr="00BE4490">
              <w:rPr>
                <w:rFonts w:cs="Arial"/>
                <w:color w:val="00B050"/>
                <w:szCs w:val="18"/>
              </w:rPr>
              <w:t>Continuous</w:t>
            </w:r>
          </w:p>
        </w:tc>
        <w:tc>
          <w:tcPr>
            <w:tcW w:w="1980" w:type="dxa"/>
            <w:tcBorders>
              <w:top w:val="single" w:sz="8" w:space="0" w:color="000000"/>
              <w:left w:val="single" w:sz="10" w:space="0" w:color="000000"/>
              <w:bottom w:val="single" w:sz="8" w:space="0" w:color="000000"/>
              <w:right w:val="single" w:sz="10" w:space="0" w:color="000000"/>
            </w:tcBorders>
          </w:tcPr>
          <w:p w14:paraId="7DEEE7A8" w14:textId="77777777" w:rsidR="001D65C1" w:rsidRPr="00A23B02" w:rsidRDefault="001D65C1" w:rsidP="00CE24A9">
            <w:pPr>
              <w:pStyle w:val="TableText"/>
              <w:jc w:val="center"/>
              <w:rPr>
                <w:rFonts w:cs="Arial"/>
                <w:color w:val="00B050"/>
                <w:szCs w:val="18"/>
              </w:rPr>
            </w:pPr>
            <w:r w:rsidRPr="00BE4490">
              <w:rPr>
                <w:rFonts w:cs="Arial"/>
                <w:color w:val="00B050"/>
                <w:szCs w:val="18"/>
              </w:rPr>
              <w:t>Pavement Joints</w:t>
            </w:r>
          </w:p>
        </w:tc>
        <w:tc>
          <w:tcPr>
            <w:tcW w:w="1980" w:type="dxa"/>
            <w:tcBorders>
              <w:top w:val="single" w:sz="8" w:space="0" w:color="000000"/>
              <w:left w:val="single" w:sz="10" w:space="0" w:color="000000"/>
              <w:bottom w:val="single" w:sz="8" w:space="0" w:color="000000"/>
              <w:right w:val="single" w:sz="8" w:space="0" w:color="000000"/>
            </w:tcBorders>
          </w:tcPr>
          <w:p w14:paraId="513A0E31"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3B3F58E0" w14:textId="77777777" w:rsidR="001D65C1" w:rsidRPr="00A23B02" w:rsidRDefault="001D65C1" w:rsidP="00CE24A9">
            <w:pPr>
              <w:pStyle w:val="TableText"/>
              <w:jc w:val="center"/>
              <w:rPr>
                <w:rFonts w:cs="Arial"/>
                <w:color w:val="00B050"/>
                <w:szCs w:val="18"/>
              </w:rPr>
            </w:pPr>
            <w:r w:rsidRPr="00BE4490">
              <w:rPr>
                <w:rFonts w:cs="Arial"/>
                <w:color w:val="00B050"/>
                <w:szCs w:val="18"/>
              </w:rPr>
              <w:t>Industry Standards</w:t>
            </w:r>
          </w:p>
        </w:tc>
      </w:tr>
      <w:tr w:rsidR="001D65C1" w:rsidRPr="00A23B02" w14:paraId="3CC3A811" w14:textId="77777777"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14:paraId="4D07037E" w14:textId="77777777" w:rsidR="001D65C1" w:rsidRPr="00A23B02" w:rsidRDefault="001D65C1" w:rsidP="00CE24A9">
            <w:pPr>
              <w:pStyle w:val="TableText"/>
            </w:pPr>
            <w:r w:rsidRPr="00BE4490">
              <w:rPr>
                <w:color w:val="00B050"/>
              </w:rPr>
              <w:t>Smoothness</w:t>
            </w:r>
          </w:p>
        </w:tc>
        <w:tc>
          <w:tcPr>
            <w:tcW w:w="1431" w:type="dxa"/>
            <w:tcBorders>
              <w:top w:val="single" w:sz="8" w:space="0" w:color="000000"/>
              <w:left w:val="single" w:sz="6" w:space="0" w:color="000000"/>
              <w:bottom w:val="single" w:sz="8" w:space="0" w:color="000000"/>
              <w:right w:val="single" w:sz="10" w:space="0" w:color="000000"/>
            </w:tcBorders>
          </w:tcPr>
          <w:p w14:paraId="211DD071" w14:textId="77777777" w:rsidR="001D65C1" w:rsidRPr="00A23B02" w:rsidRDefault="001D65C1" w:rsidP="00CE24A9">
            <w:pPr>
              <w:pStyle w:val="TableText"/>
              <w:jc w:val="center"/>
              <w:rPr>
                <w:rFonts w:cs="Arial"/>
                <w:color w:val="00B050"/>
                <w:szCs w:val="18"/>
              </w:rPr>
            </w:pPr>
            <w:r w:rsidRPr="00BE4490">
              <w:rPr>
                <w:rFonts w:cs="Arial"/>
                <w:color w:val="00B050"/>
                <w:szCs w:val="18"/>
              </w:rPr>
              <w:t>10 ft straightedge</w:t>
            </w:r>
          </w:p>
        </w:tc>
        <w:tc>
          <w:tcPr>
            <w:tcW w:w="1980" w:type="dxa"/>
            <w:tcBorders>
              <w:top w:val="single" w:sz="8" w:space="0" w:color="000000"/>
              <w:left w:val="single" w:sz="10" w:space="0" w:color="000000"/>
              <w:bottom w:val="single" w:sz="8" w:space="0" w:color="000000"/>
              <w:right w:val="single" w:sz="10" w:space="0" w:color="000000"/>
            </w:tcBorders>
          </w:tcPr>
          <w:p w14:paraId="0FD24676" w14:textId="77777777"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14:paraId="10E5D451" w14:textId="77777777" w:rsidR="001D65C1" w:rsidRPr="00A23B02" w:rsidRDefault="001D65C1" w:rsidP="00CE24A9">
            <w:pPr>
              <w:pStyle w:val="TableText"/>
              <w:jc w:val="center"/>
              <w:rPr>
                <w:rFonts w:cs="Arial"/>
                <w:color w:val="00B050"/>
                <w:szCs w:val="18"/>
              </w:rPr>
            </w:pPr>
            <w:r w:rsidRPr="00BE4490">
              <w:rPr>
                <w:rFonts w:cs="Arial"/>
                <w:color w:val="00B050"/>
                <w:szCs w:val="18"/>
              </w:rPr>
              <w:t>Finished Surface</w:t>
            </w:r>
          </w:p>
        </w:tc>
        <w:tc>
          <w:tcPr>
            <w:tcW w:w="1980" w:type="dxa"/>
            <w:tcBorders>
              <w:top w:val="single" w:sz="8" w:space="0" w:color="000000"/>
              <w:left w:val="single" w:sz="10" w:space="0" w:color="000000"/>
              <w:bottom w:val="single" w:sz="8" w:space="0" w:color="000000"/>
              <w:right w:val="single" w:sz="8" w:space="0" w:color="000000"/>
            </w:tcBorders>
          </w:tcPr>
          <w:p w14:paraId="5C0EEAC9"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4352062C"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14:paraId="381A5084" w14:textId="77777777" w:rsidTr="00CE24A9">
        <w:trPr>
          <w:cantSplit/>
          <w:trHeight w:val="266"/>
        </w:trPr>
        <w:tc>
          <w:tcPr>
            <w:tcW w:w="12960" w:type="dxa"/>
            <w:gridSpan w:val="7"/>
            <w:tcBorders>
              <w:top w:val="single" w:sz="8" w:space="0" w:color="000000"/>
              <w:left w:val="single" w:sz="8" w:space="0" w:color="000000"/>
              <w:bottom w:val="single" w:sz="8" w:space="0" w:color="000000"/>
              <w:right w:val="single" w:sz="8" w:space="0" w:color="000000"/>
            </w:tcBorders>
          </w:tcPr>
          <w:p w14:paraId="39136519" w14:textId="77777777" w:rsidR="001D65C1" w:rsidRPr="00BE4490" w:rsidRDefault="001D65C1" w:rsidP="00CE24A9">
            <w:pPr>
              <w:pStyle w:val="TableHeading"/>
              <w:keepNext/>
              <w:rPr>
                <w:color w:val="00B050"/>
              </w:rPr>
            </w:pPr>
            <w:r w:rsidRPr="00BE4490">
              <w:rPr>
                <w:color w:val="00B050"/>
              </w:rPr>
              <w:lastRenderedPageBreak/>
              <w:t>Street Operations</w:t>
            </w:r>
            <w:r>
              <w:rPr>
                <w:color w:val="00B050"/>
              </w:rPr>
              <w:t xml:space="preserve"> (continued)</w:t>
            </w:r>
          </w:p>
        </w:tc>
      </w:tr>
      <w:tr w:rsidR="001D65C1" w:rsidRPr="00A23B02" w14:paraId="2C8AD6BF" w14:textId="77777777"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14:paraId="648FA906" w14:textId="77777777" w:rsidR="001D65C1" w:rsidRPr="00A23B02" w:rsidRDefault="001D65C1" w:rsidP="00CE24A9">
            <w:pPr>
              <w:pStyle w:val="TableText"/>
            </w:pPr>
            <w:r w:rsidRPr="00BE4490">
              <w:rPr>
                <w:color w:val="00B050"/>
              </w:rPr>
              <w:t xml:space="preserve">Infiltration Rate </w:t>
            </w:r>
            <w:r w:rsidRPr="00BE4490">
              <w:rPr>
                <w:color w:val="00B050"/>
              </w:rPr>
              <w:br/>
              <w:t>(average Inches per hour)</w:t>
            </w:r>
          </w:p>
        </w:tc>
        <w:tc>
          <w:tcPr>
            <w:tcW w:w="1431" w:type="dxa"/>
            <w:tcBorders>
              <w:top w:val="single" w:sz="8" w:space="0" w:color="000000"/>
              <w:left w:val="single" w:sz="6" w:space="0" w:color="000000"/>
              <w:bottom w:val="single" w:sz="8" w:space="0" w:color="000000"/>
              <w:right w:val="single" w:sz="10" w:space="0" w:color="000000"/>
            </w:tcBorders>
          </w:tcPr>
          <w:p w14:paraId="7654398C" w14:textId="77777777" w:rsidR="001D65C1" w:rsidRPr="00A23B02" w:rsidRDefault="001D65C1" w:rsidP="00CE24A9">
            <w:pPr>
              <w:pStyle w:val="TableText"/>
              <w:jc w:val="center"/>
              <w:rPr>
                <w:rFonts w:cs="Arial"/>
                <w:color w:val="00B050"/>
                <w:szCs w:val="18"/>
              </w:rPr>
            </w:pPr>
            <w:r w:rsidRPr="00BE4490">
              <w:rPr>
                <w:rFonts w:cs="Arial"/>
                <w:color w:val="00B050"/>
                <w:szCs w:val="18"/>
              </w:rPr>
              <w:t>ASTM C1701</w:t>
            </w:r>
          </w:p>
        </w:tc>
        <w:tc>
          <w:tcPr>
            <w:tcW w:w="1980" w:type="dxa"/>
            <w:tcBorders>
              <w:top w:val="single" w:sz="8" w:space="0" w:color="000000"/>
              <w:left w:val="single" w:sz="10" w:space="0" w:color="000000"/>
              <w:bottom w:val="single" w:sz="8" w:space="0" w:color="000000"/>
              <w:right w:val="single" w:sz="10" w:space="0" w:color="000000"/>
            </w:tcBorders>
          </w:tcPr>
          <w:p w14:paraId="18309F0E" w14:textId="77777777" w:rsidR="001D65C1" w:rsidRPr="00BE4490" w:rsidRDefault="001D65C1" w:rsidP="00CE24A9">
            <w:pPr>
              <w:pStyle w:val="TableText"/>
              <w:jc w:val="center"/>
              <w:rPr>
                <w:rFonts w:cs="Arial"/>
                <w:color w:val="00B050"/>
                <w:szCs w:val="18"/>
              </w:rPr>
            </w:pPr>
            <w:r w:rsidRPr="00BE4490">
              <w:rPr>
                <w:rFonts w:cs="Arial"/>
                <w:color w:val="00B050"/>
                <w:szCs w:val="18"/>
              </w:rPr>
              <w:t>Three (3) test locations per 10,000 square feet of pervious asphalt, in place</w:t>
            </w:r>
          </w:p>
          <w:p w14:paraId="1C52A4D8" w14:textId="77777777" w:rsidR="001D65C1" w:rsidRPr="00A23B02" w:rsidRDefault="001D65C1" w:rsidP="00CE24A9">
            <w:pPr>
              <w:pStyle w:val="TableText"/>
              <w:jc w:val="center"/>
              <w:rPr>
                <w:rFonts w:cs="Arial"/>
                <w:color w:val="00B050"/>
                <w:szCs w:val="18"/>
              </w:rPr>
            </w:pPr>
            <w:r w:rsidRPr="00BE4490">
              <w:rPr>
                <w:rFonts w:cs="Arial"/>
                <w:color w:val="00B050"/>
                <w:szCs w:val="18"/>
              </w:rPr>
              <w:t>One (1) additional test location per 5,000 square feet of pervious asphalt, or fraction thereof, in place</w:t>
            </w:r>
          </w:p>
        </w:tc>
        <w:tc>
          <w:tcPr>
            <w:tcW w:w="1980" w:type="dxa"/>
            <w:tcBorders>
              <w:top w:val="single" w:sz="8" w:space="0" w:color="000000"/>
              <w:left w:val="single" w:sz="10" w:space="0" w:color="000000"/>
              <w:bottom w:val="single" w:sz="8" w:space="0" w:color="000000"/>
              <w:right w:val="single" w:sz="10" w:space="0" w:color="000000"/>
            </w:tcBorders>
          </w:tcPr>
          <w:p w14:paraId="298AB442" w14:textId="77777777" w:rsidR="001D65C1" w:rsidRPr="00A23B02" w:rsidRDefault="001D65C1" w:rsidP="00CE24A9">
            <w:pPr>
              <w:pStyle w:val="TableText"/>
              <w:jc w:val="center"/>
              <w:rPr>
                <w:rFonts w:cs="Arial"/>
                <w:color w:val="00B050"/>
                <w:szCs w:val="18"/>
              </w:rPr>
            </w:pPr>
            <w:r w:rsidRPr="00BE4490">
              <w:rPr>
                <w:rFonts w:cs="Arial"/>
                <w:color w:val="00B050"/>
                <w:szCs w:val="18"/>
              </w:rPr>
              <w:t>Finished Surface</w:t>
            </w:r>
          </w:p>
        </w:tc>
        <w:tc>
          <w:tcPr>
            <w:tcW w:w="1980" w:type="dxa"/>
            <w:tcBorders>
              <w:top w:val="single" w:sz="8" w:space="0" w:color="000000"/>
              <w:left w:val="single" w:sz="10" w:space="0" w:color="000000"/>
              <w:bottom w:val="single" w:sz="8" w:space="0" w:color="000000"/>
              <w:right w:val="single" w:sz="8" w:space="0" w:color="000000"/>
            </w:tcBorders>
          </w:tcPr>
          <w:p w14:paraId="49320DE2"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204B8300" w14:textId="77777777" w:rsidR="001D65C1" w:rsidRPr="00BE4490" w:rsidRDefault="001D65C1" w:rsidP="00CE24A9">
            <w:pPr>
              <w:pStyle w:val="TableText"/>
              <w:jc w:val="center"/>
              <w:rPr>
                <w:rFonts w:cs="Arial"/>
                <w:color w:val="00B050"/>
                <w:szCs w:val="18"/>
              </w:rPr>
            </w:pPr>
            <w:r w:rsidRPr="00BE4490">
              <w:rPr>
                <w:rFonts w:cs="Arial"/>
                <w:color w:val="00B050"/>
                <w:szCs w:val="18"/>
              </w:rPr>
              <w:t>Each Test: 50”/</w:t>
            </w:r>
            <w:proofErr w:type="spellStart"/>
            <w:r w:rsidRPr="00BE4490">
              <w:rPr>
                <w:rFonts w:cs="Arial"/>
                <w:color w:val="00B050"/>
                <w:szCs w:val="18"/>
              </w:rPr>
              <w:t>hr</w:t>
            </w:r>
            <w:proofErr w:type="spellEnd"/>
            <w:r w:rsidRPr="00BE4490">
              <w:rPr>
                <w:rFonts w:cs="Arial"/>
                <w:color w:val="00B050"/>
                <w:szCs w:val="18"/>
              </w:rPr>
              <w:t xml:space="preserve"> min</w:t>
            </w:r>
          </w:p>
          <w:p w14:paraId="0BED600F" w14:textId="77777777" w:rsidR="001D65C1" w:rsidRPr="00A23B02" w:rsidRDefault="001D65C1" w:rsidP="00CE24A9">
            <w:pPr>
              <w:pStyle w:val="TableText"/>
              <w:jc w:val="center"/>
              <w:rPr>
                <w:rFonts w:cs="Arial"/>
                <w:color w:val="00B050"/>
                <w:szCs w:val="18"/>
              </w:rPr>
            </w:pPr>
            <w:r w:rsidRPr="00BE4490">
              <w:rPr>
                <w:rFonts w:cs="Arial"/>
                <w:color w:val="00B050"/>
                <w:szCs w:val="18"/>
              </w:rPr>
              <w:t>Daily Avg.: 100”/</w:t>
            </w:r>
            <w:proofErr w:type="spellStart"/>
            <w:r w:rsidRPr="00BE4490">
              <w:rPr>
                <w:rFonts w:cs="Arial"/>
                <w:color w:val="00B050"/>
                <w:szCs w:val="18"/>
              </w:rPr>
              <w:t>hr</w:t>
            </w:r>
            <w:proofErr w:type="spellEnd"/>
            <w:r w:rsidRPr="00BE4490">
              <w:rPr>
                <w:rFonts w:cs="Arial"/>
                <w:color w:val="00B050"/>
                <w:szCs w:val="18"/>
              </w:rPr>
              <w:t xml:space="preserve"> min</w:t>
            </w:r>
          </w:p>
        </w:tc>
      </w:tr>
      <w:tr w:rsidR="001D65C1" w:rsidRPr="00A23B02" w14:paraId="380A10EE" w14:textId="77777777"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14:paraId="655D392C" w14:textId="77777777" w:rsidR="001D65C1" w:rsidRPr="00A23B02" w:rsidRDefault="001D65C1" w:rsidP="00CE24A9">
            <w:pPr>
              <w:pStyle w:val="TableText"/>
            </w:pPr>
            <w:r w:rsidRPr="00BE4490">
              <w:rPr>
                <w:color w:val="00B050"/>
              </w:rPr>
              <w:t>Pavement Transitions</w:t>
            </w:r>
          </w:p>
        </w:tc>
        <w:tc>
          <w:tcPr>
            <w:tcW w:w="1431" w:type="dxa"/>
            <w:tcBorders>
              <w:top w:val="single" w:sz="8" w:space="0" w:color="000000"/>
              <w:left w:val="single" w:sz="6" w:space="0" w:color="000000"/>
              <w:bottom w:val="single" w:sz="8" w:space="0" w:color="000000"/>
              <w:right w:val="single" w:sz="10" w:space="0" w:color="000000"/>
            </w:tcBorders>
          </w:tcPr>
          <w:p w14:paraId="44673A61" w14:textId="77777777"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14:paraId="47377C92" w14:textId="77777777"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14:paraId="36B2C501" w14:textId="77777777" w:rsidR="001D65C1" w:rsidRPr="00A23B02" w:rsidRDefault="001D65C1" w:rsidP="00CE24A9">
            <w:pPr>
              <w:pStyle w:val="TableText"/>
              <w:jc w:val="center"/>
              <w:rPr>
                <w:rFonts w:cs="Arial"/>
                <w:color w:val="00B050"/>
                <w:szCs w:val="18"/>
              </w:rPr>
            </w:pPr>
            <w:r w:rsidRPr="00BE4490">
              <w:rPr>
                <w:rFonts w:cs="Arial"/>
                <w:color w:val="00B050"/>
                <w:szCs w:val="18"/>
              </w:rPr>
              <w:t>AC Transitions</w:t>
            </w:r>
          </w:p>
        </w:tc>
        <w:tc>
          <w:tcPr>
            <w:tcW w:w="1980" w:type="dxa"/>
            <w:tcBorders>
              <w:top w:val="single" w:sz="8" w:space="0" w:color="000000"/>
              <w:left w:val="single" w:sz="10" w:space="0" w:color="000000"/>
              <w:bottom w:val="single" w:sz="8" w:space="0" w:color="000000"/>
              <w:right w:val="single" w:sz="8" w:space="0" w:color="000000"/>
            </w:tcBorders>
          </w:tcPr>
          <w:p w14:paraId="033C9AA6" w14:textId="77777777"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14:paraId="47057944" w14:textId="77777777"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bl>
    <w:p w14:paraId="7538422A" w14:textId="77777777" w:rsidR="001D65C1" w:rsidRDefault="001D65C1" w:rsidP="001D65C1">
      <w:pPr>
        <w:pStyle w:val="BodyText"/>
      </w:pPr>
    </w:p>
    <w:p w14:paraId="0A4F3EF2" w14:textId="77777777" w:rsidR="001D65C1" w:rsidRDefault="001D65C1" w:rsidP="001D65C1">
      <w:pPr>
        <w:pStyle w:val="BodyText"/>
        <w:sectPr w:rsidR="001D65C1" w:rsidSect="00BA0F46">
          <w:footerReference w:type="default" r:id="rId13"/>
          <w:endnotePr>
            <w:numFmt w:val="decimal"/>
          </w:endnotePr>
          <w:pgSz w:w="15840" w:h="12240" w:orient="landscape" w:code="1"/>
          <w:pgMar w:top="1440" w:right="1440" w:bottom="1440" w:left="1440" w:header="720" w:footer="720" w:gutter="0"/>
          <w:cols w:space="720"/>
          <w:noEndnote/>
          <w:docGrid w:linePitch="326"/>
        </w:sectPr>
      </w:pPr>
    </w:p>
    <w:p w14:paraId="1D2E7CCB" w14:textId="77777777" w:rsidR="001D65C1" w:rsidRPr="00A23B02" w:rsidRDefault="001D65C1" w:rsidP="001D65C1">
      <w:pPr>
        <w:pStyle w:val="SPEC2"/>
        <w:numPr>
          <w:ilvl w:val="2"/>
          <w:numId w:val="3"/>
        </w:numPr>
      </w:pPr>
      <w:r w:rsidRPr="00BE4490">
        <w:rPr>
          <w:rStyle w:val="EmphasisUnderline"/>
        </w:rPr>
        <w:lastRenderedPageBreak/>
        <w:t>Acceptance</w:t>
      </w:r>
      <w:r w:rsidRPr="00BE4490">
        <w:t>:</w:t>
      </w:r>
      <w:r w:rsidRPr="00A23B02">
        <w:t xml:space="preserve"> Acceptance of porous asphalt shall be determined based on the criteria defined in </w:t>
      </w:r>
      <w:r>
        <w:t>Section 39</w:t>
      </w:r>
      <w:r>
        <w:noBreakHyphen/>
      </w:r>
      <w:r w:rsidRPr="00A23B02">
        <w:t>2.03A (Acceptance) of the Caltrans Standard Specifications, with the following modifications and additions:</w:t>
      </w:r>
    </w:p>
    <w:p w14:paraId="1B76380A" w14:textId="77777777" w:rsidR="001D65C1" w:rsidRPr="00A23B02" w:rsidRDefault="001D65C1" w:rsidP="001D65C1">
      <w:pPr>
        <w:pStyle w:val="SPEC3"/>
        <w:numPr>
          <w:ilvl w:val="3"/>
          <w:numId w:val="3"/>
        </w:numPr>
      </w:pPr>
      <w:r>
        <w:t>Source aggregate will not be subject to acceptance testing once is has been approved as part of the JMF, unless samples are requested by the Engineer.</w:t>
      </w:r>
    </w:p>
    <w:p w14:paraId="21508544" w14:textId="77777777" w:rsidR="001D65C1" w:rsidRPr="00A23B02" w:rsidRDefault="001D65C1" w:rsidP="001D65C1">
      <w:pPr>
        <w:pStyle w:val="SPEC3"/>
        <w:numPr>
          <w:ilvl w:val="3"/>
          <w:numId w:val="3"/>
        </w:numPr>
      </w:pPr>
      <w:r w:rsidRPr="00BE4490">
        <w:rPr>
          <w:rStyle w:val="EmphasisUnderline"/>
        </w:rPr>
        <w:t>Air Voids</w:t>
      </w:r>
      <w:r w:rsidRPr="00BE4490">
        <w:t>:</w:t>
      </w:r>
      <w:r w:rsidRPr="00A23B02">
        <w:t xml:space="preserve"> Air voids shall be tested for by determining the bulk specific gravity in accor</w:t>
      </w:r>
      <w:r>
        <w:t>dance with ASTM D6752 or AASHTO </w:t>
      </w:r>
      <w:r w:rsidRPr="00A23B02">
        <w:t>T275, the maximum theoretic</w:t>
      </w:r>
      <w:r>
        <w:t>al specific gravity with AASHTO </w:t>
      </w:r>
      <w:r w:rsidRPr="00A23B02">
        <w:t>T</w:t>
      </w:r>
      <w:r>
        <w:t>209, and the voids by test ASTM </w:t>
      </w:r>
      <w:r w:rsidRPr="00A23B02">
        <w:t>D3203.</w:t>
      </w:r>
    </w:p>
    <w:p w14:paraId="29154CEF" w14:textId="77777777" w:rsidR="001D65C1" w:rsidRPr="00A23B02" w:rsidRDefault="001D65C1" w:rsidP="001D65C1">
      <w:pPr>
        <w:pStyle w:val="SPEC3"/>
        <w:numPr>
          <w:ilvl w:val="3"/>
          <w:numId w:val="3"/>
        </w:numPr>
      </w:pPr>
      <w:r w:rsidRPr="00BE4490">
        <w:rPr>
          <w:rStyle w:val="EmphasisUnderline"/>
        </w:rPr>
        <w:t>Retained Tensile Strength</w:t>
      </w:r>
      <w:r w:rsidRPr="00BE4490">
        <w:t>:</w:t>
      </w:r>
      <w:r w:rsidRPr="00A23B02">
        <w:t xml:space="preserve"> Retained tensile strength shall be t</w:t>
      </w:r>
      <w:r>
        <w:t>ested in accordance with AASHTO </w:t>
      </w:r>
      <w:r w:rsidRPr="00A23B02">
        <w:t>283.</w:t>
      </w:r>
    </w:p>
    <w:p w14:paraId="31352E63" w14:textId="77777777" w:rsidR="001D65C1" w:rsidRPr="00A23B02" w:rsidRDefault="001D65C1" w:rsidP="001D65C1">
      <w:pPr>
        <w:pStyle w:val="SPECIndent2"/>
      </w:pPr>
      <w:r w:rsidRPr="00D003DD">
        <w:t xml:space="preserve">Test results for air voids, </w:t>
      </w:r>
      <w:proofErr w:type="spellStart"/>
      <w:r w:rsidRPr="00D003DD">
        <w:t>draindown</w:t>
      </w:r>
      <w:proofErr w:type="spellEnd"/>
      <w:r w:rsidRPr="00D003DD">
        <w:t>, and retained tensile strength shall be consistent with the characteristics of the approved JMF.</w:t>
      </w:r>
    </w:p>
    <w:p w14:paraId="60416354" w14:textId="77777777" w:rsidR="001D65C1" w:rsidRPr="00BE4490" w:rsidRDefault="001D65C1" w:rsidP="001D65C1">
      <w:pPr>
        <w:pStyle w:val="SPEC3"/>
        <w:numPr>
          <w:ilvl w:val="3"/>
          <w:numId w:val="3"/>
        </w:numPr>
      </w:pPr>
      <w:r w:rsidRPr="00BE4490">
        <w:t>Infiltration Testing</w:t>
      </w:r>
    </w:p>
    <w:p w14:paraId="478C85C7" w14:textId="77777777" w:rsidR="009030EE" w:rsidRDefault="001D65C1" w:rsidP="001D65C1">
      <w:pPr>
        <w:pStyle w:val="SPEC4"/>
        <w:numPr>
          <w:ilvl w:val="4"/>
          <w:numId w:val="3"/>
        </w:numPr>
      </w:pPr>
      <w:r w:rsidRPr="0040719D">
        <w:rPr>
          <w:rStyle w:val="EmphasisUnderline"/>
        </w:rPr>
        <w:t>Infiltration Rate Test</w:t>
      </w:r>
      <w:r w:rsidR="009030EE">
        <w:rPr>
          <w:rStyle w:val="EmphasisUnderline"/>
        </w:rPr>
        <w:t>ing</w:t>
      </w:r>
      <w:r>
        <w:t xml:space="preserve">: </w:t>
      </w:r>
      <w:r w:rsidR="009030EE">
        <w:t>The average of all surface infiltration tests shall be greater than 200 inches per hour with no single test less than 100 inches per hour.</w:t>
      </w:r>
    </w:p>
    <w:p w14:paraId="74F4EB39" w14:textId="77777777" w:rsidR="009030EE" w:rsidRPr="009030EE" w:rsidRDefault="009030EE" w:rsidP="009030EE">
      <w:pPr>
        <w:pStyle w:val="SPECIndent4"/>
        <w:rPr>
          <w:color w:val="00B050"/>
        </w:rPr>
      </w:pPr>
      <w:r w:rsidRPr="009030EE">
        <w:rPr>
          <w:color w:val="00B050"/>
        </w:rPr>
        <w:t>DESIGNER NOTE: The designer should adjust infiltration rates to reflect project specific conditions such as anticipated sediment loading based on pavement use (e.g., vehicular, pedestrian) and design run-on from adjacent surfaces. The recommended criteria are as follows:</w:t>
      </w:r>
    </w:p>
    <w:p w14:paraId="72F0D1EE" w14:textId="77777777" w:rsidR="009030EE" w:rsidRPr="009030EE" w:rsidRDefault="009030EE" w:rsidP="009030EE">
      <w:pPr>
        <w:pStyle w:val="SPECIndent5"/>
        <w:numPr>
          <w:ilvl w:val="1"/>
          <w:numId w:val="37"/>
        </w:numPr>
        <w:ind w:left="3240"/>
        <w:rPr>
          <w:color w:val="00B050"/>
        </w:rPr>
      </w:pPr>
      <w:r w:rsidRPr="009030EE">
        <w:rPr>
          <w:color w:val="00B050"/>
        </w:rPr>
        <w:t>For porous asphalt that will accept run-on from adjacent impervious and/or pervious surfaces OR pavement that will be subject to vehicular traffic:</w:t>
      </w:r>
    </w:p>
    <w:p w14:paraId="1BB28AC7" w14:textId="77777777" w:rsidR="009030EE" w:rsidRPr="009030EE" w:rsidRDefault="009030EE" w:rsidP="009030EE">
      <w:pPr>
        <w:pStyle w:val="SPECIndent6"/>
        <w:numPr>
          <w:ilvl w:val="1"/>
          <w:numId w:val="38"/>
        </w:numPr>
        <w:ind w:left="3600"/>
        <w:rPr>
          <w:color w:val="00B050"/>
        </w:rPr>
      </w:pPr>
      <w:r w:rsidRPr="009030EE">
        <w:rPr>
          <w:color w:val="00B050"/>
        </w:rPr>
        <w:t>The average of all surface infiltration tests shall be greater than 200 inches per hour with no single test less than 100 inches per hour</w:t>
      </w:r>
    </w:p>
    <w:p w14:paraId="2B82BCC0" w14:textId="77777777" w:rsidR="009030EE" w:rsidRPr="00B829D4" w:rsidRDefault="009030EE" w:rsidP="009030EE">
      <w:pPr>
        <w:pStyle w:val="SPECIndent5"/>
        <w:numPr>
          <w:ilvl w:val="1"/>
          <w:numId w:val="37"/>
        </w:numPr>
        <w:ind w:left="3240"/>
        <w:rPr>
          <w:color w:val="00B050"/>
        </w:rPr>
      </w:pPr>
      <w:r w:rsidRPr="00B829D4">
        <w:rPr>
          <w:color w:val="00B050"/>
        </w:rPr>
        <w:t xml:space="preserve">For </w:t>
      </w:r>
      <w:r>
        <w:rPr>
          <w:color w:val="00B050"/>
        </w:rPr>
        <w:t xml:space="preserve">porous asphalt </w:t>
      </w:r>
      <w:r w:rsidRPr="00B829D4">
        <w:rPr>
          <w:color w:val="00B050"/>
        </w:rPr>
        <w:t>not subject to run-on OR vehicular traffic:</w:t>
      </w:r>
    </w:p>
    <w:p w14:paraId="518FDE07" w14:textId="77777777" w:rsidR="009030EE" w:rsidRPr="009030EE" w:rsidRDefault="009030EE" w:rsidP="009030EE">
      <w:pPr>
        <w:pStyle w:val="SPECIndent6"/>
        <w:numPr>
          <w:ilvl w:val="1"/>
          <w:numId w:val="38"/>
        </w:numPr>
        <w:ind w:left="3600"/>
        <w:rPr>
          <w:color w:val="00B050"/>
        </w:rPr>
      </w:pPr>
      <w:r w:rsidRPr="009030EE">
        <w:rPr>
          <w:color w:val="00B050"/>
        </w:rPr>
        <w:t>The average of all surface infiltration tests shall be greater than 100 inches per hour with no single test less than 50 inches per hour</w:t>
      </w:r>
    </w:p>
    <w:p w14:paraId="174588F0" w14:textId="77777777" w:rsidR="001D65C1" w:rsidRDefault="001D65C1" w:rsidP="001D65C1">
      <w:pPr>
        <w:pStyle w:val="SPEC4"/>
        <w:numPr>
          <w:ilvl w:val="4"/>
          <w:numId w:val="3"/>
        </w:numPr>
      </w:pPr>
      <w:r w:rsidRPr="0040719D">
        <w:rPr>
          <w:rStyle w:val="EmphasisUnderline"/>
        </w:rPr>
        <w:t>Infiltration Visual Testing</w:t>
      </w:r>
      <w:r>
        <w:t>: Visual flood testing of the surface shall be conducted</w:t>
      </w:r>
      <w:r w:rsidRPr="003424D4">
        <w:t xml:space="preserve"> by application of clean water at the </w:t>
      </w:r>
      <w:r>
        <w:t>rate of at least 5 </w:t>
      </w:r>
      <w:proofErr w:type="spellStart"/>
      <w:r>
        <w:t>gpm</w:t>
      </w:r>
      <w:proofErr w:type="spellEnd"/>
      <w:r>
        <w:t xml:space="preserve"> </w:t>
      </w:r>
      <w:r w:rsidRPr="003424D4">
        <w:t xml:space="preserve">over the surface, using a hose or other distribution devise. Water used for the test shall be clean, free of suspended solids and deleterious liquids and will be provided at no extra cost to the Owner. All applied water shall infiltrate directly without large puddle formation or surface runoff, and shall be observed by the </w:t>
      </w:r>
      <w:r w:rsidRPr="003424D4">
        <w:lastRenderedPageBreak/>
        <w:t>Engineer.</w:t>
      </w:r>
      <w:r>
        <w:t xml:space="preserve"> The Engineer shall mark areas where large puddles form in the field. Areas with slow infiltration shall not exceed 10 percent of the total surface.</w:t>
      </w:r>
    </w:p>
    <w:p w14:paraId="61A32338" w14:textId="77777777" w:rsidR="001D65C1" w:rsidRDefault="001D65C1" w:rsidP="001D65C1">
      <w:pPr>
        <w:pStyle w:val="SPECIndent3"/>
        <w:rPr>
          <w:color w:val="00B050"/>
        </w:rPr>
      </w:pPr>
      <w:r w:rsidRPr="00BE4490">
        <w:rPr>
          <w:color w:val="00B050"/>
        </w:rPr>
        <w:t>DESIGNER NOTE: Smoothness specification should be revised as needed to reflect project design objectives (e.g., smoothness specifications from Section 212 of the City Streets and Highways specifications).</w:t>
      </w:r>
    </w:p>
    <w:p w14:paraId="4A8B18D9" w14:textId="77777777" w:rsidR="001D65C1" w:rsidRDefault="001D65C1" w:rsidP="001D65C1">
      <w:pPr>
        <w:pStyle w:val="SPEC3"/>
        <w:numPr>
          <w:ilvl w:val="3"/>
          <w:numId w:val="3"/>
        </w:numPr>
      </w:pPr>
      <w:r w:rsidRPr="00BE4490">
        <w:rPr>
          <w:rStyle w:val="EmphasisUnderline"/>
        </w:rPr>
        <w:t>Smoothness</w:t>
      </w:r>
      <w:r w:rsidRPr="0040719D">
        <w:t xml:space="preserve">: </w:t>
      </w:r>
      <w:r w:rsidRPr="004F0E8D">
        <w:t>Porous asphalt smoothness shall be checked with a 10</w:t>
      </w:r>
      <w:r>
        <w:noBreakHyphen/>
      </w:r>
      <w:r w:rsidRPr="004F0E8D">
        <w:t>foot straightedge. Vertical measurement shall be taken between the pavement’s determined plane and straight edge in a direction perpendicular and parallel to the centerline. The finished pavement shall be uniform to a degree such that no variations greater than 3/8</w:t>
      </w:r>
      <w:r>
        <w:noBreakHyphen/>
      </w:r>
      <w:r w:rsidRPr="004F0E8D">
        <w:t>inch are present between the straightedge and pavement surface.</w:t>
      </w:r>
    </w:p>
    <w:p w14:paraId="55452030" w14:textId="77777777" w:rsidR="001D65C1" w:rsidRPr="00B36E4C" w:rsidRDefault="001D65C1" w:rsidP="001D65C1">
      <w:pPr>
        <w:pStyle w:val="SPEC3"/>
        <w:numPr>
          <w:ilvl w:val="3"/>
          <w:numId w:val="3"/>
        </w:numPr>
        <w:rPr>
          <w:rFonts w:eastAsiaTheme="minorHAnsi"/>
        </w:rPr>
      </w:pPr>
      <w:r w:rsidRPr="00B36E4C">
        <w:rPr>
          <w:rStyle w:val="EmphasisUnderline"/>
        </w:rPr>
        <w:t>Grade</w:t>
      </w:r>
      <w:r w:rsidRPr="00B36E4C">
        <w:t xml:space="preserve">: </w:t>
      </w:r>
      <w:r>
        <w:t>Porous asphalt</w:t>
      </w:r>
      <w:r w:rsidRPr="00B36E4C">
        <w:t xml:space="preserve"> shall be true to designed spot elevations plus or minus ½ inch and shall not deviate from designed slope more than ¼ inch in ten (10) feet. Where abutting existing facilities such as sidewalks, walkways, curbs, driveways or other pavements, the </w:t>
      </w:r>
      <w:r>
        <w:t>porous asphalt</w:t>
      </w:r>
      <w:r w:rsidRPr="00B36E4C">
        <w:t xml:space="preserve"> shall be flush.</w:t>
      </w:r>
    </w:p>
    <w:p w14:paraId="57F0A5BB" w14:textId="77777777" w:rsidR="001D65C1" w:rsidRPr="00B36E4C" w:rsidRDefault="001D65C1" w:rsidP="001D65C1">
      <w:pPr>
        <w:pStyle w:val="SPEC3"/>
        <w:numPr>
          <w:ilvl w:val="3"/>
          <w:numId w:val="3"/>
        </w:numPr>
      </w:pPr>
      <w:r w:rsidRPr="004F0E8D">
        <w:rPr>
          <w:rStyle w:val="EmphasisUnderline"/>
        </w:rPr>
        <w:t>Line</w:t>
      </w:r>
      <w:r w:rsidRPr="004F0E8D">
        <w:t xml:space="preserve">: </w:t>
      </w:r>
      <w:r>
        <w:t>Porous asphalt</w:t>
      </w:r>
      <w:r w:rsidRPr="00B36E4C">
        <w:t xml:space="preserve"> margins shall be true to designed lines plus or minus ½ inch at any point.</w:t>
      </w:r>
    </w:p>
    <w:p w14:paraId="4612DE09" w14:textId="77777777" w:rsidR="001D65C1" w:rsidRPr="0040719D" w:rsidRDefault="001D65C1" w:rsidP="001D65C1">
      <w:pPr>
        <w:pStyle w:val="SPEC3"/>
        <w:numPr>
          <w:ilvl w:val="3"/>
          <w:numId w:val="3"/>
        </w:numPr>
      </w:pPr>
      <w:r w:rsidRPr="00B36E4C">
        <w:rPr>
          <w:rStyle w:val="EmphasisUnderline"/>
        </w:rPr>
        <w:t>Slope</w:t>
      </w:r>
      <w:r w:rsidRPr="004F0E8D">
        <w:t xml:space="preserve">: </w:t>
      </w:r>
      <w:r>
        <w:t>Porous asphalt</w:t>
      </w:r>
      <w:r w:rsidRPr="00B36E4C">
        <w:t xml:space="preserve"> shall be sloped as shown on the Plans. Slope shall be consistent to within 1/4 inch in ten (10) feet.</w:t>
      </w:r>
    </w:p>
    <w:p w14:paraId="5CDCD6B6" w14:textId="77777777" w:rsidR="001D65C1" w:rsidRDefault="001D65C1" w:rsidP="001D65C1">
      <w:pPr>
        <w:pStyle w:val="SPEC3"/>
        <w:numPr>
          <w:ilvl w:val="3"/>
          <w:numId w:val="3"/>
        </w:numPr>
      </w:pPr>
      <w:r w:rsidRPr="00BE4490">
        <w:rPr>
          <w:rStyle w:val="EmphasisUnderline"/>
        </w:rPr>
        <w:t>Thickness</w:t>
      </w:r>
      <w:r w:rsidRPr="00BE4490">
        <w:t>:</w:t>
      </w:r>
      <w:r w:rsidRPr="00B36E4C">
        <w:t xml:space="preserve"> Each core sample shall be equal to the minimum section depth or more as specified on the Plans.</w:t>
      </w:r>
    </w:p>
    <w:p w14:paraId="1F25DCFC" w14:textId="77777777" w:rsidR="001D65C1" w:rsidRPr="00BE4490" w:rsidRDefault="001D65C1" w:rsidP="001D65C1">
      <w:pPr>
        <w:pStyle w:val="SPECIndent3"/>
        <w:rPr>
          <w:color w:val="00B050"/>
        </w:rPr>
      </w:pPr>
      <w:r w:rsidRPr="00BE4490">
        <w:rPr>
          <w:color w:val="00B050"/>
        </w:rPr>
        <w:t>DESIGNER NOTE: Revise the load slip specification as needed to align with the measurement and payment specifications.</w:t>
      </w:r>
    </w:p>
    <w:p w14:paraId="0A9B735C" w14:textId="77777777" w:rsidR="001D65C1" w:rsidRDefault="001D65C1" w:rsidP="001D65C1">
      <w:pPr>
        <w:pStyle w:val="SPEC3"/>
        <w:numPr>
          <w:ilvl w:val="3"/>
          <w:numId w:val="3"/>
        </w:numPr>
      </w:pPr>
      <w:r w:rsidRPr="00BE4490">
        <w:rPr>
          <w:rStyle w:val="EmphasisUnderline"/>
        </w:rPr>
        <w:t>Load Slip</w:t>
      </w:r>
      <w:r w:rsidRPr="00BE4490">
        <w:t>:</w:t>
      </w:r>
      <w:r w:rsidRPr="004F0E8D">
        <w:t xml:space="preserve"> Each load of porous asphalt transported to the location of placement shall have a load slip delivered with the load that is certified by a licensed </w:t>
      </w:r>
      <w:proofErr w:type="spellStart"/>
      <w:r w:rsidRPr="004F0E8D">
        <w:t>weightmaster</w:t>
      </w:r>
      <w:proofErr w:type="spellEnd"/>
      <w:r w:rsidRPr="004F0E8D">
        <w:t xml:space="preserve"> and includes the combined mixture weight.</w:t>
      </w:r>
    </w:p>
    <w:p w14:paraId="08A552AA" w14:textId="77777777" w:rsidR="001D65C1" w:rsidRDefault="001D65C1" w:rsidP="001D65C1">
      <w:pPr>
        <w:pStyle w:val="SPECIndent3"/>
        <w:rPr>
          <w:color w:val="00B050"/>
        </w:rPr>
      </w:pPr>
      <w:r w:rsidRPr="00BE4490">
        <w:rPr>
          <w:color w:val="00B050"/>
        </w:rPr>
        <w:t>DESIGNER NOTE: Designer should specify consequences of any failed acceptance tests (e.g., reduced payment for lower infiltration rate and lower percent voids, reduced payment for failed smoothness tests) or if consequences are full replacement.</w:t>
      </w:r>
    </w:p>
    <w:p w14:paraId="4960E6C0" w14:textId="77777777" w:rsidR="001D65C1" w:rsidRPr="007A2E6D" w:rsidRDefault="001D65C1" w:rsidP="001D65C1">
      <w:pPr>
        <w:pStyle w:val="SPEC3"/>
        <w:numPr>
          <w:ilvl w:val="3"/>
          <w:numId w:val="3"/>
        </w:numPr>
      </w:pPr>
      <w:r w:rsidRPr="00BE4490">
        <w:rPr>
          <w:rStyle w:val="EmphasisUnderline"/>
        </w:rPr>
        <w:t>Reduced Payment Factors</w:t>
      </w:r>
      <w:r w:rsidRPr="00BE4490">
        <w:t>:</w:t>
      </w:r>
      <w:r w:rsidRPr="007A2E6D">
        <w:t xml:space="preserve"> The reduced payment factors in Caltrans Standard Specification </w:t>
      </w:r>
      <w:r>
        <w:t>39</w:t>
      </w:r>
      <w:r>
        <w:noBreakHyphen/>
      </w:r>
      <w:r w:rsidRPr="007A2E6D">
        <w:t>2.03A (Testing) do not apply.</w:t>
      </w:r>
    </w:p>
    <w:p w14:paraId="258126EC" w14:textId="77777777" w:rsidR="001D65C1" w:rsidRPr="00BE4490" w:rsidRDefault="001D65C1" w:rsidP="001D65C1">
      <w:pPr>
        <w:pStyle w:val="SPECIndent3"/>
        <w:rPr>
          <w:color w:val="00B050"/>
          <w:highlight w:val="yellow"/>
        </w:rPr>
      </w:pPr>
      <w:r w:rsidRPr="00BE4490">
        <w:rPr>
          <w:color w:val="00B050"/>
        </w:rPr>
        <w:t xml:space="preserve">DESIGNER NOTE: The following table is a </w:t>
      </w:r>
      <w:r w:rsidRPr="00BE4490">
        <w:rPr>
          <w:rStyle w:val="EmphasisUnderline"/>
          <w:color w:val="00B050"/>
        </w:rPr>
        <w:t>Sample</w:t>
      </w:r>
      <w:r w:rsidRPr="00BE4490">
        <w:rPr>
          <w:color w:val="00B050"/>
        </w:rPr>
        <w:t xml:space="preserve"> Owner Quality Assurance Sampling and Testing Plan is provided to illustrate the type and frequency of testing that may be required. Frequency and standard for all tests should be project specific.</w:t>
      </w:r>
    </w:p>
    <w:tbl>
      <w:tblPr>
        <w:tblW w:w="9360" w:type="dxa"/>
        <w:tblBorders>
          <w:top w:val="nil"/>
          <w:left w:val="nil"/>
          <w:bottom w:val="nil"/>
          <w:right w:val="nil"/>
        </w:tblBorders>
        <w:tblLayout w:type="fixed"/>
        <w:tblCellMar>
          <w:left w:w="115" w:type="dxa"/>
          <w:right w:w="115" w:type="dxa"/>
        </w:tblCellMar>
        <w:tblLook w:val="0000" w:firstRow="0" w:lastRow="0" w:firstColumn="0" w:lastColumn="0" w:noHBand="0" w:noVBand="0"/>
      </w:tblPr>
      <w:tblGrid>
        <w:gridCol w:w="1838"/>
        <w:gridCol w:w="1482"/>
        <w:gridCol w:w="1256"/>
        <w:gridCol w:w="1257"/>
        <w:gridCol w:w="1474"/>
        <w:gridCol w:w="2053"/>
      </w:tblGrid>
      <w:tr w:rsidR="001D65C1" w:rsidRPr="002D18D9" w14:paraId="4718032A" w14:textId="77777777" w:rsidTr="00CE24A9">
        <w:trPr>
          <w:trHeight w:val="393"/>
          <w:tblHeader/>
        </w:trPr>
        <w:tc>
          <w:tcPr>
            <w:tcW w:w="9360" w:type="dxa"/>
            <w:gridSpan w:val="6"/>
            <w:tcBorders>
              <w:top w:val="single" w:sz="8" w:space="0" w:color="000000"/>
              <w:left w:val="single" w:sz="8" w:space="0" w:color="000000"/>
              <w:bottom w:val="single" w:sz="8" w:space="0" w:color="000000"/>
              <w:right w:val="single" w:sz="8" w:space="0" w:color="000000"/>
            </w:tcBorders>
            <w:shd w:val="clear" w:color="auto" w:fill="auto"/>
            <w:vAlign w:val="bottom"/>
          </w:tcPr>
          <w:p w14:paraId="66BEF709" w14:textId="77777777" w:rsidR="001D65C1" w:rsidRPr="00BE4490" w:rsidRDefault="001D65C1" w:rsidP="00CE24A9">
            <w:pPr>
              <w:pStyle w:val="TableHeading"/>
              <w:keepNext/>
              <w:rPr>
                <w:color w:val="00B050"/>
              </w:rPr>
            </w:pPr>
            <w:r w:rsidRPr="00BE4490">
              <w:rPr>
                <w:color w:val="00B050"/>
              </w:rPr>
              <w:lastRenderedPageBreak/>
              <w:t>Sample Owner Quality Assurance Sampling and Testing Plan</w:t>
            </w:r>
          </w:p>
        </w:tc>
      </w:tr>
      <w:tr w:rsidR="001D65C1" w:rsidRPr="002D18D9" w14:paraId="0CD7D7D6" w14:textId="77777777" w:rsidTr="00CE24A9">
        <w:trPr>
          <w:trHeight w:val="393"/>
          <w:tblHeader/>
        </w:trPr>
        <w:tc>
          <w:tcPr>
            <w:tcW w:w="1838" w:type="dxa"/>
            <w:tcBorders>
              <w:top w:val="single" w:sz="8" w:space="0" w:color="000000"/>
              <w:left w:val="single" w:sz="8" w:space="0" w:color="000000"/>
              <w:bottom w:val="single" w:sz="8" w:space="0" w:color="000000"/>
              <w:right w:val="single" w:sz="6" w:space="0" w:color="000000"/>
            </w:tcBorders>
            <w:shd w:val="clear" w:color="auto" w:fill="auto"/>
            <w:vAlign w:val="bottom"/>
          </w:tcPr>
          <w:p w14:paraId="7F3E3580" w14:textId="77777777" w:rsidR="001D65C1" w:rsidRPr="00BE4490" w:rsidRDefault="001D65C1" w:rsidP="00CE24A9">
            <w:pPr>
              <w:pStyle w:val="TableHeading"/>
              <w:rPr>
                <w:color w:val="00B050"/>
              </w:rPr>
            </w:pPr>
            <w:r w:rsidRPr="00BE4490">
              <w:rPr>
                <w:color w:val="00B050"/>
              </w:rPr>
              <w:t>Quality Characteristic</w:t>
            </w:r>
          </w:p>
        </w:tc>
        <w:tc>
          <w:tcPr>
            <w:tcW w:w="1482" w:type="dxa"/>
            <w:tcBorders>
              <w:top w:val="single" w:sz="8" w:space="0" w:color="000000"/>
              <w:left w:val="single" w:sz="6" w:space="0" w:color="000000"/>
              <w:bottom w:val="single" w:sz="8" w:space="0" w:color="000000"/>
              <w:right w:val="single" w:sz="10" w:space="0" w:color="000000"/>
            </w:tcBorders>
            <w:shd w:val="clear" w:color="auto" w:fill="auto"/>
            <w:vAlign w:val="bottom"/>
          </w:tcPr>
          <w:p w14:paraId="10976823" w14:textId="77777777" w:rsidR="001D65C1" w:rsidRPr="00BE4490" w:rsidRDefault="001D65C1" w:rsidP="00CE24A9">
            <w:pPr>
              <w:pStyle w:val="TableHeading"/>
              <w:rPr>
                <w:color w:val="00B050"/>
              </w:rPr>
            </w:pPr>
            <w:r w:rsidRPr="00BE4490">
              <w:rPr>
                <w:color w:val="00B050"/>
              </w:rPr>
              <w:t>Test Standard</w:t>
            </w:r>
          </w:p>
        </w:tc>
        <w:tc>
          <w:tcPr>
            <w:tcW w:w="1256" w:type="dxa"/>
            <w:tcBorders>
              <w:top w:val="single" w:sz="8" w:space="0" w:color="000000"/>
              <w:left w:val="single" w:sz="10" w:space="0" w:color="000000"/>
              <w:bottom w:val="single" w:sz="8" w:space="0" w:color="000000"/>
              <w:right w:val="single" w:sz="10" w:space="0" w:color="000000"/>
            </w:tcBorders>
            <w:shd w:val="clear" w:color="auto" w:fill="auto"/>
            <w:vAlign w:val="bottom"/>
          </w:tcPr>
          <w:p w14:paraId="1B82CB47" w14:textId="77777777" w:rsidR="001D65C1" w:rsidRPr="00BE4490" w:rsidRDefault="001D65C1" w:rsidP="00CE24A9">
            <w:pPr>
              <w:pStyle w:val="TableHeading"/>
              <w:rPr>
                <w:color w:val="00B050"/>
              </w:rPr>
            </w:pPr>
            <w:r w:rsidRPr="00BE4490">
              <w:rPr>
                <w:color w:val="00B050"/>
              </w:rPr>
              <w:t>Frequency</w:t>
            </w:r>
          </w:p>
        </w:tc>
        <w:tc>
          <w:tcPr>
            <w:tcW w:w="1257" w:type="dxa"/>
            <w:tcBorders>
              <w:top w:val="single" w:sz="8" w:space="0" w:color="000000"/>
              <w:left w:val="single" w:sz="10" w:space="0" w:color="000000"/>
              <w:bottom w:val="single" w:sz="8" w:space="0" w:color="000000"/>
              <w:right w:val="single" w:sz="10" w:space="0" w:color="000000"/>
            </w:tcBorders>
            <w:shd w:val="clear" w:color="auto" w:fill="auto"/>
            <w:vAlign w:val="bottom"/>
          </w:tcPr>
          <w:p w14:paraId="03BD1DFE" w14:textId="77777777" w:rsidR="001D65C1" w:rsidRPr="00BE4490" w:rsidRDefault="001D65C1" w:rsidP="00CE24A9">
            <w:pPr>
              <w:pStyle w:val="TableHeading"/>
              <w:rPr>
                <w:color w:val="00B050"/>
              </w:rPr>
            </w:pPr>
            <w:r w:rsidRPr="00BE4490">
              <w:rPr>
                <w:color w:val="00B050"/>
              </w:rPr>
              <w:t>Sample Location</w:t>
            </w:r>
          </w:p>
        </w:tc>
        <w:tc>
          <w:tcPr>
            <w:tcW w:w="1474" w:type="dxa"/>
            <w:tcBorders>
              <w:top w:val="single" w:sz="8" w:space="0" w:color="000000"/>
              <w:left w:val="single" w:sz="10" w:space="0" w:color="000000"/>
              <w:bottom w:val="single" w:sz="8" w:space="0" w:color="000000"/>
              <w:right w:val="single" w:sz="8" w:space="0" w:color="000000"/>
            </w:tcBorders>
            <w:shd w:val="clear" w:color="auto" w:fill="auto"/>
            <w:vAlign w:val="bottom"/>
          </w:tcPr>
          <w:p w14:paraId="0934396C" w14:textId="77777777" w:rsidR="001D65C1" w:rsidRPr="00BE4490" w:rsidRDefault="001D65C1" w:rsidP="00CE24A9">
            <w:pPr>
              <w:pStyle w:val="TableHeading"/>
              <w:rPr>
                <w:color w:val="00B050"/>
              </w:rPr>
            </w:pPr>
            <w:r w:rsidRPr="00BE4490">
              <w:rPr>
                <w:color w:val="00B050"/>
              </w:rPr>
              <w:t>Responsibility</w:t>
            </w:r>
          </w:p>
        </w:tc>
        <w:tc>
          <w:tcPr>
            <w:tcW w:w="205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8B94CA" w14:textId="77777777" w:rsidR="001D65C1" w:rsidRPr="00BE4490" w:rsidRDefault="001D65C1" w:rsidP="00CE24A9">
            <w:pPr>
              <w:pStyle w:val="TableHeading"/>
              <w:rPr>
                <w:color w:val="00B050"/>
              </w:rPr>
            </w:pPr>
            <w:r w:rsidRPr="00BE4490">
              <w:rPr>
                <w:color w:val="00B050"/>
              </w:rPr>
              <w:t>Attribute or Tolerance</w:t>
            </w:r>
          </w:p>
        </w:tc>
      </w:tr>
      <w:tr w:rsidR="001D65C1" w:rsidRPr="002D18D9" w14:paraId="78CF2A3E" w14:textId="77777777" w:rsidTr="00CE24A9">
        <w:trPr>
          <w:trHeight w:val="58"/>
        </w:trPr>
        <w:tc>
          <w:tcPr>
            <w:tcW w:w="9360" w:type="dxa"/>
            <w:gridSpan w:val="6"/>
            <w:tcBorders>
              <w:top w:val="single" w:sz="8" w:space="0" w:color="000000"/>
              <w:left w:val="single" w:sz="8" w:space="0" w:color="000000"/>
              <w:right w:val="single" w:sz="4" w:space="0" w:color="auto"/>
            </w:tcBorders>
          </w:tcPr>
          <w:p w14:paraId="4F7FE709" w14:textId="77777777" w:rsidR="001D65C1" w:rsidRPr="00BE4490" w:rsidRDefault="001D65C1" w:rsidP="00CE24A9">
            <w:pPr>
              <w:pStyle w:val="TableHeading"/>
              <w:rPr>
                <w:color w:val="00B050"/>
              </w:rPr>
            </w:pPr>
            <w:r w:rsidRPr="00BE4490">
              <w:rPr>
                <w:color w:val="00B050"/>
              </w:rPr>
              <w:t>Plant Operations</w:t>
            </w:r>
          </w:p>
        </w:tc>
      </w:tr>
      <w:tr w:rsidR="001D65C1" w:rsidRPr="002D18D9" w14:paraId="6520DF25" w14:textId="77777777" w:rsidTr="00CE24A9">
        <w:trPr>
          <w:trHeight w:val="266"/>
        </w:trPr>
        <w:tc>
          <w:tcPr>
            <w:tcW w:w="9360" w:type="dxa"/>
            <w:gridSpan w:val="6"/>
            <w:tcBorders>
              <w:top w:val="single" w:sz="8" w:space="0" w:color="000000"/>
              <w:left w:val="single" w:sz="8" w:space="0" w:color="000000"/>
              <w:bottom w:val="single" w:sz="8" w:space="0" w:color="000000"/>
              <w:right w:val="single" w:sz="8" w:space="0" w:color="000000"/>
            </w:tcBorders>
          </w:tcPr>
          <w:p w14:paraId="3E9494E5" w14:textId="77777777" w:rsidR="001D65C1" w:rsidRPr="00BE4490" w:rsidRDefault="001D65C1" w:rsidP="00CE24A9">
            <w:pPr>
              <w:pStyle w:val="TableHeading"/>
              <w:rPr>
                <w:color w:val="00B050"/>
              </w:rPr>
            </w:pPr>
            <w:r w:rsidRPr="00BE4490">
              <w:rPr>
                <w:color w:val="00B050"/>
              </w:rPr>
              <w:t>Street Operations</w:t>
            </w:r>
          </w:p>
        </w:tc>
      </w:tr>
      <w:tr w:rsidR="001D65C1" w:rsidRPr="002D18D9" w14:paraId="726C0D5D" w14:textId="77777777"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14:paraId="391D72FF" w14:textId="77777777" w:rsidR="001D65C1" w:rsidRPr="00E97121" w:rsidRDefault="001D65C1" w:rsidP="00CE24A9">
            <w:pPr>
              <w:pStyle w:val="TableText"/>
            </w:pPr>
            <w:r w:rsidRPr="00BE4490">
              <w:rPr>
                <w:color w:val="00B050"/>
              </w:rPr>
              <w:t>Asphalt Binder Content</w:t>
            </w:r>
          </w:p>
        </w:tc>
        <w:tc>
          <w:tcPr>
            <w:tcW w:w="1482" w:type="dxa"/>
            <w:tcBorders>
              <w:top w:val="single" w:sz="8" w:space="0" w:color="000000"/>
              <w:left w:val="single" w:sz="6" w:space="0" w:color="000000"/>
              <w:bottom w:val="single" w:sz="8" w:space="0" w:color="000000"/>
              <w:right w:val="single" w:sz="10" w:space="0" w:color="000000"/>
            </w:tcBorders>
          </w:tcPr>
          <w:p w14:paraId="39D17156" w14:textId="77777777" w:rsidR="001D65C1" w:rsidRPr="002D18D9" w:rsidRDefault="001D65C1" w:rsidP="00CE24A9">
            <w:pPr>
              <w:pStyle w:val="TableText"/>
              <w:jc w:val="center"/>
              <w:rPr>
                <w:color w:val="00B050"/>
                <w:szCs w:val="18"/>
              </w:rPr>
            </w:pPr>
            <w:r w:rsidRPr="00BE4490">
              <w:rPr>
                <w:color w:val="00B050"/>
                <w:szCs w:val="18"/>
              </w:rPr>
              <w:t>CT 382</w:t>
            </w:r>
          </w:p>
        </w:tc>
        <w:tc>
          <w:tcPr>
            <w:tcW w:w="1256" w:type="dxa"/>
            <w:tcBorders>
              <w:top w:val="single" w:sz="8" w:space="0" w:color="000000"/>
              <w:left w:val="single" w:sz="10" w:space="0" w:color="000000"/>
              <w:bottom w:val="single" w:sz="8" w:space="0" w:color="000000"/>
              <w:right w:val="single" w:sz="10" w:space="0" w:color="000000"/>
            </w:tcBorders>
          </w:tcPr>
          <w:p w14:paraId="32F5BBC5" w14:textId="77777777"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14:paraId="18315201" w14:textId="77777777" w:rsidR="001D65C1" w:rsidRPr="002D18D9" w:rsidRDefault="001D65C1" w:rsidP="00CE24A9">
            <w:pPr>
              <w:pStyle w:val="TableText"/>
              <w:jc w:val="center"/>
              <w:rPr>
                <w:color w:val="00B050"/>
                <w:szCs w:val="18"/>
              </w:rPr>
            </w:pPr>
            <w:r w:rsidRPr="00BE4490">
              <w:rPr>
                <w:color w:val="00B050"/>
                <w:szCs w:val="18"/>
              </w:rPr>
              <w:t>Hopper</w:t>
            </w:r>
          </w:p>
        </w:tc>
        <w:tc>
          <w:tcPr>
            <w:tcW w:w="1474" w:type="dxa"/>
            <w:tcBorders>
              <w:top w:val="single" w:sz="8" w:space="0" w:color="000000"/>
              <w:left w:val="single" w:sz="10" w:space="0" w:color="000000"/>
              <w:bottom w:val="single" w:sz="8" w:space="0" w:color="000000"/>
              <w:right w:val="single" w:sz="8" w:space="0" w:color="000000"/>
            </w:tcBorders>
          </w:tcPr>
          <w:p w14:paraId="3723B73F"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7039BF47" w14:textId="77777777" w:rsidR="001D65C1" w:rsidRPr="002D18D9" w:rsidRDefault="001D65C1" w:rsidP="00CE24A9">
            <w:pPr>
              <w:pStyle w:val="TableText"/>
              <w:jc w:val="center"/>
              <w:rPr>
                <w:color w:val="00B050"/>
                <w:szCs w:val="18"/>
              </w:rPr>
            </w:pPr>
            <w:r w:rsidRPr="00BE4490">
              <w:rPr>
                <w:color w:val="00B050"/>
                <w:szCs w:val="18"/>
              </w:rPr>
              <w:t>Design ± 0.5%</w:t>
            </w:r>
          </w:p>
        </w:tc>
      </w:tr>
      <w:tr w:rsidR="001D65C1" w:rsidRPr="002D18D9" w14:paraId="1E101EB2" w14:textId="77777777"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14:paraId="36498B51" w14:textId="77777777" w:rsidR="001D65C1" w:rsidRPr="00E97121" w:rsidRDefault="001D65C1" w:rsidP="00CE24A9">
            <w:pPr>
              <w:pStyle w:val="TableText"/>
            </w:pPr>
            <w:r w:rsidRPr="00BE4490">
              <w:rPr>
                <w:color w:val="00B050"/>
              </w:rPr>
              <w:t>HMA Moisture Content (%, max)</w:t>
            </w:r>
          </w:p>
        </w:tc>
        <w:tc>
          <w:tcPr>
            <w:tcW w:w="1482" w:type="dxa"/>
            <w:tcBorders>
              <w:top w:val="single" w:sz="8" w:space="0" w:color="000000"/>
              <w:left w:val="single" w:sz="6" w:space="0" w:color="000000"/>
              <w:bottom w:val="single" w:sz="8" w:space="0" w:color="000000"/>
              <w:right w:val="single" w:sz="10" w:space="0" w:color="000000"/>
            </w:tcBorders>
          </w:tcPr>
          <w:p w14:paraId="3E7276DF" w14:textId="77777777" w:rsidR="001D65C1" w:rsidRPr="002D18D9" w:rsidRDefault="001D65C1" w:rsidP="00CE24A9">
            <w:pPr>
              <w:pStyle w:val="TableText"/>
              <w:jc w:val="center"/>
              <w:rPr>
                <w:color w:val="00B050"/>
                <w:szCs w:val="18"/>
              </w:rPr>
            </w:pPr>
            <w:r w:rsidRPr="00BE4490">
              <w:rPr>
                <w:color w:val="00B050"/>
                <w:szCs w:val="18"/>
              </w:rPr>
              <w:t>CT 226</w:t>
            </w:r>
          </w:p>
        </w:tc>
        <w:tc>
          <w:tcPr>
            <w:tcW w:w="1256" w:type="dxa"/>
            <w:tcBorders>
              <w:top w:val="single" w:sz="8" w:space="0" w:color="000000"/>
              <w:left w:val="single" w:sz="10" w:space="0" w:color="000000"/>
              <w:bottom w:val="single" w:sz="8" w:space="0" w:color="000000"/>
              <w:right w:val="single" w:sz="10" w:space="0" w:color="000000"/>
            </w:tcBorders>
          </w:tcPr>
          <w:p w14:paraId="484717B0" w14:textId="77777777"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14:paraId="6A648A22" w14:textId="77777777" w:rsidR="001D65C1" w:rsidRPr="002D18D9" w:rsidRDefault="001D65C1" w:rsidP="00CE24A9">
            <w:pPr>
              <w:pStyle w:val="TableText"/>
              <w:jc w:val="center"/>
              <w:rPr>
                <w:color w:val="00B050"/>
                <w:szCs w:val="18"/>
              </w:rPr>
            </w:pPr>
            <w:r w:rsidRPr="00BE4490">
              <w:rPr>
                <w:color w:val="00B050"/>
                <w:szCs w:val="18"/>
              </w:rPr>
              <w:t>Hopper</w:t>
            </w:r>
          </w:p>
        </w:tc>
        <w:tc>
          <w:tcPr>
            <w:tcW w:w="1474" w:type="dxa"/>
            <w:tcBorders>
              <w:top w:val="single" w:sz="8" w:space="0" w:color="000000"/>
              <w:left w:val="single" w:sz="10" w:space="0" w:color="000000"/>
              <w:bottom w:val="single" w:sz="8" w:space="0" w:color="000000"/>
              <w:right w:val="single" w:sz="8" w:space="0" w:color="000000"/>
            </w:tcBorders>
          </w:tcPr>
          <w:p w14:paraId="2E143A55"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590E8BA5" w14:textId="77777777" w:rsidR="001D65C1" w:rsidRPr="002D18D9" w:rsidRDefault="001D65C1" w:rsidP="00CE24A9">
            <w:pPr>
              <w:pStyle w:val="TableText"/>
              <w:jc w:val="center"/>
              <w:rPr>
                <w:color w:val="00B050"/>
                <w:szCs w:val="18"/>
              </w:rPr>
            </w:pPr>
            <w:r w:rsidRPr="00BE4490">
              <w:rPr>
                <w:color w:val="00B050"/>
                <w:szCs w:val="18"/>
              </w:rPr>
              <w:t>1.0</w:t>
            </w:r>
          </w:p>
        </w:tc>
      </w:tr>
      <w:tr w:rsidR="001D65C1" w:rsidRPr="002D18D9" w14:paraId="51C9D696" w14:textId="77777777"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14:paraId="6B765FC3" w14:textId="77777777" w:rsidR="001D65C1" w:rsidRPr="00E97121" w:rsidRDefault="001D65C1" w:rsidP="00CE24A9">
            <w:pPr>
              <w:pStyle w:val="TableText"/>
            </w:pPr>
            <w:r w:rsidRPr="00BE4490">
              <w:rPr>
                <w:color w:val="00B050"/>
              </w:rPr>
              <w:t>Lift Thickness</w:t>
            </w:r>
          </w:p>
        </w:tc>
        <w:tc>
          <w:tcPr>
            <w:tcW w:w="1482" w:type="dxa"/>
            <w:tcBorders>
              <w:top w:val="single" w:sz="8" w:space="0" w:color="000000"/>
              <w:left w:val="single" w:sz="6" w:space="0" w:color="000000"/>
              <w:bottom w:val="single" w:sz="8" w:space="0" w:color="000000"/>
              <w:right w:val="single" w:sz="10" w:space="0" w:color="000000"/>
            </w:tcBorders>
          </w:tcPr>
          <w:p w14:paraId="3744B885" w14:textId="77777777" w:rsidR="001D65C1" w:rsidRPr="002D18D9" w:rsidRDefault="001D65C1" w:rsidP="00CE24A9">
            <w:pPr>
              <w:pStyle w:val="TableText"/>
              <w:jc w:val="center"/>
              <w:rPr>
                <w:color w:val="00B050"/>
                <w:szCs w:val="18"/>
              </w:rPr>
            </w:pPr>
            <w:r w:rsidRPr="00BE4490">
              <w:rPr>
                <w:color w:val="00B050"/>
                <w:szCs w:val="18"/>
              </w:rPr>
              <w:t>Measured</w:t>
            </w:r>
          </w:p>
        </w:tc>
        <w:tc>
          <w:tcPr>
            <w:tcW w:w="1256" w:type="dxa"/>
            <w:tcBorders>
              <w:top w:val="single" w:sz="8" w:space="0" w:color="000000"/>
              <w:left w:val="single" w:sz="10" w:space="0" w:color="000000"/>
              <w:bottom w:val="single" w:sz="8" w:space="0" w:color="000000"/>
              <w:right w:val="single" w:sz="10" w:space="0" w:color="000000"/>
            </w:tcBorders>
          </w:tcPr>
          <w:p w14:paraId="6267A9BF" w14:textId="77777777" w:rsidR="001D65C1" w:rsidRPr="002D18D9" w:rsidRDefault="001D65C1" w:rsidP="00CE24A9">
            <w:pPr>
              <w:pStyle w:val="TableText"/>
              <w:jc w:val="center"/>
              <w:rPr>
                <w:color w:val="00B050"/>
                <w:szCs w:val="18"/>
              </w:rPr>
            </w:pPr>
            <w:r w:rsidRPr="00BE4490">
              <w:rPr>
                <w:color w:val="00B050"/>
                <w:szCs w:val="18"/>
              </w:rPr>
              <w:t>Hourly</w:t>
            </w:r>
          </w:p>
        </w:tc>
        <w:tc>
          <w:tcPr>
            <w:tcW w:w="1257" w:type="dxa"/>
            <w:tcBorders>
              <w:top w:val="single" w:sz="8" w:space="0" w:color="000000"/>
              <w:left w:val="single" w:sz="10" w:space="0" w:color="000000"/>
              <w:bottom w:val="single" w:sz="8" w:space="0" w:color="000000"/>
              <w:right w:val="single" w:sz="10" w:space="0" w:color="000000"/>
            </w:tcBorders>
          </w:tcPr>
          <w:p w14:paraId="3DE7DFA6" w14:textId="77777777"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14:paraId="037BC64A"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3E72B656" w14:textId="77777777"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14:paraId="29F3D97C" w14:textId="77777777" w:rsidTr="00CE24A9">
        <w:trPr>
          <w:trHeight w:val="730"/>
        </w:trPr>
        <w:tc>
          <w:tcPr>
            <w:tcW w:w="1838" w:type="dxa"/>
            <w:tcBorders>
              <w:top w:val="single" w:sz="8" w:space="0" w:color="000000"/>
              <w:left w:val="single" w:sz="8" w:space="0" w:color="000000"/>
              <w:bottom w:val="single" w:sz="8" w:space="0" w:color="000000"/>
              <w:right w:val="single" w:sz="6" w:space="0" w:color="000000"/>
            </w:tcBorders>
          </w:tcPr>
          <w:p w14:paraId="473A0E0F" w14:textId="77777777" w:rsidR="001D65C1" w:rsidRPr="00E97121" w:rsidRDefault="001D65C1" w:rsidP="00CE24A9">
            <w:pPr>
              <w:pStyle w:val="TableText"/>
            </w:pPr>
            <w:r w:rsidRPr="00BE4490">
              <w:rPr>
                <w:color w:val="00B050"/>
              </w:rPr>
              <w:t>Air Void Content by Paraffin Wax (%)</w:t>
            </w:r>
          </w:p>
        </w:tc>
        <w:tc>
          <w:tcPr>
            <w:tcW w:w="1482" w:type="dxa"/>
            <w:tcBorders>
              <w:top w:val="single" w:sz="8" w:space="0" w:color="000000"/>
              <w:left w:val="single" w:sz="6" w:space="0" w:color="000000"/>
              <w:bottom w:val="single" w:sz="8" w:space="0" w:color="000000"/>
              <w:right w:val="single" w:sz="10" w:space="0" w:color="000000"/>
            </w:tcBorders>
          </w:tcPr>
          <w:p w14:paraId="193A3FED" w14:textId="77777777" w:rsidR="001D65C1" w:rsidRPr="002D18D9" w:rsidRDefault="001D65C1" w:rsidP="00CE24A9">
            <w:pPr>
              <w:pStyle w:val="TableText"/>
              <w:jc w:val="center"/>
              <w:rPr>
                <w:color w:val="00B050"/>
                <w:szCs w:val="18"/>
              </w:rPr>
            </w:pPr>
            <w:r w:rsidRPr="00BE4490">
              <w:rPr>
                <w:color w:val="00B050"/>
                <w:szCs w:val="18"/>
              </w:rPr>
              <w:t xml:space="preserve">AASHTO T275 </w:t>
            </w:r>
            <w:r w:rsidRPr="00BE4490">
              <w:rPr>
                <w:color w:val="00B050"/>
                <w:szCs w:val="18"/>
              </w:rPr>
              <w:br/>
              <w:t>(with AASHTO T209 and ASTM D3203)</w:t>
            </w:r>
          </w:p>
        </w:tc>
        <w:tc>
          <w:tcPr>
            <w:tcW w:w="1256" w:type="dxa"/>
            <w:tcBorders>
              <w:top w:val="single" w:sz="8" w:space="0" w:color="000000"/>
              <w:left w:val="single" w:sz="10" w:space="0" w:color="000000"/>
              <w:bottom w:val="single" w:sz="8" w:space="0" w:color="000000"/>
              <w:right w:val="single" w:sz="10" w:space="0" w:color="000000"/>
            </w:tcBorders>
          </w:tcPr>
          <w:p w14:paraId="6AB31ED8" w14:textId="77777777"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14:paraId="74B323B3" w14:textId="77777777"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14:paraId="176D8510"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5F96742D" w14:textId="77777777" w:rsidR="001D65C1" w:rsidRPr="002D18D9" w:rsidRDefault="001D65C1" w:rsidP="00CE24A9">
            <w:pPr>
              <w:pStyle w:val="TableText"/>
              <w:jc w:val="center"/>
              <w:rPr>
                <w:color w:val="00B050"/>
                <w:szCs w:val="18"/>
              </w:rPr>
            </w:pPr>
            <w:r w:rsidRPr="00BE4490">
              <w:rPr>
                <w:color w:val="00B050"/>
                <w:szCs w:val="18"/>
              </w:rPr>
              <w:t>16–20%</w:t>
            </w:r>
          </w:p>
        </w:tc>
      </w:tr>
      <w:tr w:rsidR="001D65C1" w:rsidRPr="002D18D9" w14:paraId="6085445E" w14:textId="77777777" w:rsidTr="00CE24A9">
        <w:trPr>
          <w:trHeight w:val="730"/>
        </w:trPr>
        <w:tc>
          <w:tcPr>
            <w:tcW w:w="1838" w:type="dxa"/>
            <w:tcBorders>
              <w:top w:val="single" w:sz="8" w:space="0" w:color="000000"/>
              <w:left w:val="single" w:sz="8" w:space="0" w:color="000000"/>
              <w:bottom w:val="single" w:sz="8" w:space="0" w:color="000000"/>
              <w:right w:val="single" w:sz="6" w:space="0" w:color="000000"/>
            </w:tcBorders>
          </w:tcPr>
          <w:p w14:paraId="0AEB3C8C" w14:textId="77777777" w:rsidR="001D65C1" w:rsidRPr="00A23B02" w:rsidRDefault="001D65C1" w:rsidP="00CE24A9">
            <w:pPr>
              <w:pStyle w:val="TableText"/>
            </w:pPr>
            <w:r w:rsidRPr="00BE4490">
              <w:rPr>
                <w:color w:val="00B050"/>
              </w:rPr>
              <w:t>Tensile Strength</w:t>
            </w:r>
          </w:p>
        </w:tc>
        <w:tc>
          <w:tcPr>
            <w:tcW w:w="1482" w:type="dxa"/>
            <w:tcBorders>
              <w:top w:val="single" w:sz="8" w:space="0" w:color="000000"/>
              <w:left w:val="single" w:sz="6" w:space="0" w:color="000000"/>
              <w:bottom w:val="single" w:sz="8" w:space="0" w:color="000000"/>
              <w:right w:val="single" w:sz="10" w:space="0" w:color="000000"/>
            </w:tcBorders>
          </w:tcPr>
          <w:p w14:paraId="7D7E79CF" w14:textId="77777777" w:rsidR="001D65C1" w:rsidRPr="002D18D9" w:rsidRDefault="001D65C1" w:rsidP="00CE24A9">
            <w:pPr>
              <w:pStyle w:val="TableText"/>
              <w:jc w:val="center"/>
              <w:rPr>
                <w:color w:val="00B050"/>
                <w:szCs w:val="18"/>
              </w:rPr>
            </w:pPr>
            <w:r w:rsidRPr="00BE4490">
              <w:rPr>
                <w:color w:val="00B050"/>
                <w:szCs w:val="18"/>
              </w:rPr>
              <w:t>AASHTO 283</w:t>
            </w:r>
          </w:p>
        </w:tc>
        <w:tc>
          <w:tcPr>
            <w:tcW w:w="1256" w:type="dxa"/>
            <w:tcBorders>
              <w:top w:val="single" w:sz="8" w:space="0" w:color="000000"/>
              <w:left w:val="single" w:sz="10" w:space="0" w:color="000000"/>
              <w:bottom w:val="single" w:sz="8" w:space="0" w:color="000000"/>
              <w:right w:val="single" w:sz="10" w:space="0" w:color="000000"/>
            </w:tcBorders>
          </w:tcPr>
          <w:p w14:paraId="7813E7D1" w14:textId="77777777"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14:paraId="2EB1333D" w14:textId="77777777"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14:paraId="5F077DCE" w14:textId="77777777" w:rsidR="001D65C1" w:rsidRPr="002D18D9" w:rsidRDefault="001D65C1" w:rsidP="00CE24A9">
            <w:pPr>
              <w:pStyle w:val="TableText"/>
              <w:jc w:val="center"/>
              <w:rPr>
                <w:color w:val="00B050"/>
                <w:szCs w:val="18"/>
              </w:rPr>
            </w:pPr>
            <w:r w:rsidRPr="00BE4490">
              <w:rPr>
                <w:color w:val="00B050"/>
                <w:szCs w:val="18"/>
              </w:rPr>
              <w:t xml:space="preserve">Engineer </w:t>
            </w:r>
          </w:p>
        </w:tc>
        <w:tc>
          <w:tcPr>
            <w:tcW w:w="2053" w:type="dxa"/>
            <w:tcBorders>
              <w:top w:val="single" w:sz="8" w:space="0" w:color="000000"/>
              <w:left w:val="single" w:sz="8" w:space="0" w:color="000000"/>
              <w:bottom w:val="single" w:sz="8" w:space="0" w:color="000000"/>
              <w:right w:val="single" w:sz="8" w:space="0" w:color="000000"/>
            </w:tcBorders>
          </w:tcPr>
          <w:p w14:paraId="3D722F16" w14:textId="77777777" w:rsidR="001D65C1" w:rsidRPr="002D18D9" w:rsidRDefault="001D65C1" w:rsidP="00CE24A9">
            <w:pPr>
              <w:pStyle w:val="TableText"/>
              <w:jc w:val="center"/>
              <w:rPr>
                <w:color w:val="00B050"/>
                <w:szCs w:val="18"/>
              </w:rPr>
            </w:pPr>
            <w:r w:rsidRPr="00BE4490">
              <w:rPr>
                <w:color w:val="00B050"/>
                <w:szCs w:val="18"/>
              </w:rPr>
              <w:t>&gt;=</w:t>
            </w:r>
            <w:r>
              <w:rPr>
                <w:color w:val="00B050"/>
                <w:szCs w:val="18"/>
              </w:rPr>
              <w:t> </w:t>
            </w:r>
            <w:r w:rsidRPr="00BE4490">
              <w:rPr>
                <w:color w:val="00B050"/>
                <w:szCs w:val="18"/>
              </w:rPr>
              <w:t>80%</w:t>
            </w:r>
          </w:p>
        </w:tc>
      </w:tr>
      <w:tr w:rsidR="001D65C1" w:rsidRPr="002D18D9" w14:paraId="16F67ADF" w14:textId="77777777" w:rsidTr="00CE24A9">
        <w:trPr>
          <w:trHeight w:val="381"/>
        </w:trPr>
        <w:tc>
          <w:tcPr>
            <w:tcW w:w="1838" w:type="dxa"/>
            <w:tcBorders>
              <w:top w:val="single" w:sz="8" w:space="0" w:color="000000"/>
              <w:left w:val="single" w:sz="8" w:space="0" w:color="000000"/>
              <w:bottom w:val="single" w:sz="8" w:space="0" w:color="000000"/>
              <w:right w:val="single" w:sz="6" w:space="0" w:color="000000"/>
            </w:tcBorders>
          </w:tcPr>
          <w:p w14:paraId="739CC122" w14:textId="77777777" w:rsidR="001D65C1" w:rsidRPr="00E97121" w:rsidRDefault="001D65C1" w:rsidP="00CE24A9">
            <w:pPr>
              <w:pStyle w:val="TableText"/>
            </w:pPr>
            <w:r w:rsidRPr="00BE4490">
              <w:rPr>
                <w:color w:val="00B050"/>
              </w:rPr>
              <w:t>Long./Transverse Joints</w:t>
            </w:r>
          </w:p>
        </w:tc>
        <w:tc>
          <w:tcPr>
            <w:tcW w:w="1482" w:type="dxa"/>
            <w:tcBorders>
              <w:top w:val="single" w:sz="8" w:space="0" w:color="000000"/>
              <w:left w:val="single" w:sz="6" w:space="0" w:color="000000"/>
              <w:bottom w:val="single" w:sz="8" w:space="0" w:color="000000"/>
              <w:right w:val="single" w:sz="10" w:space="0" w:color="000000"/>
            </w:tcBorders>
          </w:tcPr>
          <w:p w14:paraId="5FAA2046" w14:textId="77777777" w:rsidR="001D65C1" w:rsidRPr="002D18D9" w:rsidRDefault="001D65C1" w:rsidP="00CE24A9">
            <w:pPr>
              <w:pStyle w:val="TableText"/>
              <w:jc w:val="center"/>
              <w:rPr>
                <w:color w:val="00B050"/>
                <w:szCs w:val="18"/>
              </w:rPr>
            </w:pPr>
            <w:r w:rsidRPr="00BE4490">
              <w:rPr>
                <w:color w:val="00B050"/>
                <w:szCs w:val="18"/>
              </w:rPr>
              <w:t>Visual</w:t>
            </w:r>
          </w:p>
        </w:tc>
        <w:tc>
          <w:tcPr>
            <w:tcW w:w="1256" w:type="dxa"/>
            <w:tcBorders>
              <w:top w:val="single" w:sz="8" w:space="0" w:color="000000"/>
              <w:left w:val="single" w:sz="10" w:space="0" w:color="000000"/>
              <w:bottom w:val="single" w:sz="8" w:space="0" w:color="000000"/>
              <w:right w:val="single" w:sz="10" w:space="0" w:color="000000"/>
            </w:tcBorders>
          </w:tcPr>
          <w:p w14:paraId="1CA4FF10" w14:textId="77777777" w:rsidR="001D65C1" w:rsidRPr="002D18D9" w:rsidRDefault="001D65C1" w:rsidP="00CE24A9">
            <w:pPr>
              <w:pStyle w:val="TableText"/>
              <w:jc w:val="center"/>
              <w:rPr>
                <w:color w:val="00B050"/>
                <w:szCs w:val="18"/>
              </w:rPr>
            </w:pPr>
            <w:r w:rsidRPr="00BE4490">
              <w:rPr>
                <w:color w:val="00B050"/>
                <w:szCs w:val="18"/>
              </w:rPr>
              <w:t>Continuous</w:t>
            </w:r>
          </w:p>
        </w:tc>
        <w:tc>
          <w:tcPr>
            <w:tcW w:w="1257" w:type="dxa"/>
            <w:tcBorders>
              <w:top w:val="single" w:sz="8" w:space="0" w:color="000000"/>
              <w:left w:val="single" w:sz="10" w:space="0" w:color="000000"/>
              <w:bottom w:val="single" w:sz="8" w:space="0" w:color="000000"/>
              <w:right w:val="single" w:sz="10" w:space="0" w:color="000000"/>
            </w:tcBorders>
          </w:tcPr>
          <w:p w14:paraId="00D9D64B" w14:textId="77777777" w:rsidR="001D65C1" w:rsidRPr="002D18D9" w:rsidRDefault="001D65C1" w:rsidP="00CE24A9">
            <w:pPr>
              <w:pStyle w:val="TableText"/>
              <w:jc w:val="center"/>
              <w:rPr>
                <w:color w:val="00B050"/>
                <w:szCs w:val="18"/>
              </w:rPr>
            </w:pPr>
            <w:r w:rsidRPr="00BE4490">
              <w:rPr>
                <w:color w:val="00B050"/>
                <w:szCs w:val="18"/>
              </w:rPr>
              <w:t>Pavement Joints</w:t>
            </w:r>
          </w:p>
        </w:tc>
        <w:tc>
          <w:tcPr>
            <w:tcW w:w="1474" w:type="dxa"/>
            <w:tcBorders>
              <w:top w:val="single" w:sz="8" w:space="0" w:color="000000"/>
              <w:left w:val="single" w:sz="10" w:space="0" w:color="000000"/>
              <w:bottom w:val="single" w:sz="8" w:space="0" w:color="000000"/>
              <w:right w:val="single" w:sz="8" w:space="0" w:color="000000"/>
            </w:tcBorders>
          </w:tcPr>
          <w:p w14:paraId="3FFEA7AE"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27738D0A" w14:textId="77777777"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14:paraId="1493C18F" w14:textId="77777777" w:rsidTr="00CE24A9">
        <w:trPr>
          <w:trHeight w:val="381"/>
        </w:trPr>
        <w:tc>
          <w:tcPr>
            <w:tcW w:w="1838" w:type="dxa"/>
            <w:tcBorders>
              <w:top w:val="single" w:sz="8" w:space="0" w:color="000000"/>
              <w:left w:val="single" w:sz="8" w:space="0" w:color="000000"/>
              <w:bottom w:val="single" w:sz="8" w:space="0" w:color="000000"/>
              <w:right w:val="single" w:sz="6" w:space="0" w:color="000000"/>
            </w:tcBorders>
          </w:tcPr>
          <w:p w14:paraId="08D4865F" w14:textId="77777777" w:rsidR="001D65C1" w:rsidRPr="00E97121" w:rsidRDefault="001D65C1" w:rsidP="00CE24A9">
            <w:pPr>
              <w:pStyle w:val="TableText"/>
            </w:pPr>
            <w:r w:rsidRPr="00BE4490">
              <w:rPr>
                <w:color w:val="00B050"/>
              </w:rPr>
              <w:t>Smoothness</w:t>
            </w:r>
          </w:p>
        </w:tc>
        <w:tc>
          <w:tcPr>
            <w:tcW w:w="1482" w:type="dxa"/>
            <w:tcBorders>
              <w:top w:val="single" w:sz="8" w:space="0" w:color="000000"/>
              <w:left w:val="single" w:sz="6" w:space="0" w:color="000000"/>
              <w:bottom w:val="single" w:sz="8" w:space="0" w:color="000000"/>
              <w:right w:val="single" w:sz="10" w:space="0" w:color="000000"/>
            </w:tcBorders>
          </w:tcPr>
          <w:p w14:paraId="5C339751" w14:textId="77777777" w:rsidR="001D65C1" w:rsidRPr="002D18D9" w:rsidRDefault="001D65C1" w:rsidP="00CE24A9">
            <w:pPr>
              <w:pStyle w:val="TableText"/>
              <w:jc w:val="center"/>
              <w:rPr>
                <w:color w:val="00B050"/>
                <w:szCs w:val="18"/>
              </w:rPr>
            </w:pPr>
            <w:r w:rsidRPr="00BE4490">
              <w:rPr>
                <w:color w:val="00B050"/>
                <w:szCs w:val="18"/>
              </w:rPr>
              <w:t>10 ft straightedge</w:t>
            </w:r>
          </w:p>
        </w:tc>
        <w:tc>
          <w:tcPr>
            <w:tcW w:w="1256" w:type="dxa"/>
            <w:tcBorders>
              <w:top w:val="single" w:sz="8" w:space="0" w:color="000000"/>
              <w:left w:val="single" w:sz="10" w:space="0" w:color="000000"/>
              <w:bottom w:val="single" w:sz="8" w:space="0" w:color="000000"/>
              <w:right w:val="single" w:sz="10" w:space="0" w:color="000000"/>
            </w:tcBorders>
          </w:tcPr>
          <w:p w14:paraId="4240F018" w14:textId="77777777" w:rsidR="001D65C1" w:rsidRPr="002D18D9" w:rsidRDefault="001D65C1" w:rsidP="00CE24A9">
            <w:pPr>
              <w:pStyle w:val="TableText"/>
              <w:jc w:val="center"/>
              <w:rPr>
                <w:color w:val="00B050"/>
                <w:szCs w:val="18"/>
              </w:rPr>
            </w:pPr>
            <w:r w:rsidRPr="00BE4490">
              <w:rPr>
                <w:color w:val="00B050"/>
                <w:szCs w:val="18"/>
              </w:rPr>
              <w:t>Hourly</w:t>
            </w:r>
          </w:p>
        </w:tc>
        <w:tc>
          <w:tcPr>
            <w:tcW w:w="1257" w:type="dxa"/>
            <w:tcBorders>
              <w:top w:val="single" w:sz="8" w:space="0" w:color="000000"/>
              <w:left w:val="single" w:sz="10" w:space="0" w:color="000000"/>
              <w:bottom w:val="single" w:sz="8" w:space="0" w:color="000000"/>
              <w:right w:val="single" w:sz="10" w:space="0" w:color="000000"/>
            </w:tcBorders>
          </w:tcPr>
          <w:p w14:paraId="50479140" w14:textId="77777777" w:rsidR="001D65C1" w:rsidRPr="002D18D9" w:rsidRDefault="001D65C1" w:rsidP="00CE24A9">
            <w:pPr>
              <w:pStyle w:val="TableText"/>
              <w:jc w:val="center"/>
              <w:rPr>
                <w:color w:val="00B050"/>
                <w:szCs w:val="18"/>
              </w:rPr>
            </w:pPr>
            <w:r w:rsidRPr="00BE4490">
              <w:rPr>
                <w:color w:val="00B050"/>
                <w:szCs w:val="18"/>
              </w:rPr>
              <w:t>Finished Surface</w:t>
            </w:r>
          </w:p>
        </w:tc>
        <w:tc>
          <w:tcPr>
            <w:tcW w:w="1474" w:type="dxa"/>
            <w:tcBorders>
              <w:top w:val="single" w:sz="8" w:space="0" w:color="000000"/>
              <w:left w:val="single" w:sz="10" w:space="0" w:color="000000"/>
              <w:bottom w:val="single" w:sz="8" w:space="0" w:color="000000"/>
              <w:right w:val="single" w:sz="8" w:space="0" w:color="000000"/>
            </w:tcBorders>
          </w:tcPr>
          <w:p w14:paraId="649C177E"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533E3568" w14:textId="77777777"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14:paraId="27E56412" w14:textId="77777777" w:rsidTr="005B3195">
        <w:trPr>
          <w:trHeight w:val="381"/>
        </w:trPr>
        <w:tc>
          <w:tcPr>
            <w:tcW w:w="1838" w:type="dxa"/>
            <w:tcBorders>
              <w:top w:val="single" w:sz="8" w:space="0" w:color="000000"/>
              <w:left w:val="single" w:sz="8" w:space="0" w:color="000000"/>
              <w:bottom w:val="single" w:sz="8" w:space="0" w:color="000000"/>
              <w:right w:val="single" w:sz="6" w:space="0" w:color="000000"/>
            </w:tcBorders>
          </w:tcPr>
          <w:p w14:paraId="03753836" w14:textId="77777777" w:rsidR="001D65C1" w:rsidRPr="00E97121" w:rsidRDefault="001D65C1" w:rsidP="00CE24A9">
            <w:pPr>
              <w:pStyle w:val="TableText"/>
            </w:pPr>
            <w:r w:rsidRPr="00BE4490">
              <w:rPr>
                <w:color w:val="00B050"/>
              </w:rPr>
              <w:t xml:space="preserve">Infiltration Rate </w:t>
            </w:r>
            <w:r w:rsidRPr="00BE4490">
              <w:rPr>
                <w:color w:val="00B050"/>
              </w:rPr>
              <w:br/>
              <w:t>(average inches per hour)</w:t>
            </w:r>
          </w:p>
        </w:tc>
        <w:tc>
          <w:tcPr>
            <w:tcW w:w="1482" w:type="dxa"/>
            <w:tcBorders>
              <w:top w:val="single" w:sz="8" w:space="0" w:color="000000"/>
              <w:left w:val="single" w:sz="6" w:space="0" w:color="000000"/>
              <w:bottom w:val="single" w:sz="8" w:space="0" w:color="000000"/>
              <w:right w:val="single" w:sz="10" w:space="0" w:color="000000"/>
            </w:tcBorders>
          </w:tcPr>
          <w:p w14:paraId="42FA1801" w14:textId="77777777" w:rsidR="001D65C1" w:rsidRPr="002D18D9" w:rsidRDefault="001D65C1" w:rsidP="00CE24A9">
            <w:pPr>
              <w:pStyle w:val="TableText"/>
              <w:jc w:val="center"/>
              <w:rPr>
                <w:color w:val="00B050"/>
                <w:szCs w:val="18"/>
              </w:rPr>
            </w:pPr>
            <w:r w:rsidRPr="00BE4490">
              <w:rPr>
                <w:color w:val="00B050"/>
                <w:szCs w:val="18"/>
              </w:rPr>
              <w:t>ASTM C1701</w:t>
            </w:r>
          </w:p>
        </w:tc>
        <w:tc>
          <w:tcPr>
            <w:tcW w:w="1256" w:type="dxa"/>
            <w:tcBorders>
              <w:top w:val="single" w:sz="8" w:space="0" w:color="000000"/>
              <w:left w:val="single" w:sz="10" w:space="0" w:color="000000"/>
              <w:bottom w:val="single" w:sz="8" w:space="0" w:color="000000"/>
              <w:right w:val="single" w:sz="10" w:space="0" w:color="000000"/>
            </w:tcBorders>
          </w:tcPr>
          <w:p w14:paraId="0F77B489" w14:textId="77777777" w:rsidR="001D65C1" w:rsidRPr="002D18D9" w:rsidRDefault="001D65C1" w:rsidP="00CE24A9">
            <w:pPr>
              <w:pStyle w:val="TableText"/>
              <w:jc w:val="center"/>
              <w:rPr>
                <w:color w:val="00B050"/>
                <w:szCs w:val="18"/>
              </w:rPr>
            </w:pPr>
            <w:r w:rsidRPr="00BE4490">
              <w:rPr>
                <w:color w:val="00B050"/>
                <w:szCs w:val="18"/>
              </w:rPr>
              <w:t>3/day</w:t>
            </w:r>
          </w:p>
        </w:tc>
        <w:tc>
          <w:tcPr>
            <w:tcW w:w="1257" w:type="dxa"/>
            <w:tcBorders>
              <w:top w:val="single" w:sz="8" w:space="0" w:color="000000"/>
              <w:left w:val="single" w:sz="10" w:space="0" w:color="000000"/>
              <w:bottom w:val="single" w:sz="8" w:space="0" w:color="000000"/>
              <w:right w:val="single" w:sz="10" w:space="0" w:color="000000"/>
            </w:tcBorders>
          </w:tcPr>
          <w:p w14:paraId="7E559AE5" w14:textId="77777777" w:rsidR="001D65C1" w:rsidRPr="002D18D9" w:rsidRDefault="001D65C1" w:rsidP="00CE24A9">
            <w:pPr>
              <w:pStyle w:val="TableText"/>
              <w:jc w:val="center"/>
              <w:rPr>
                <w:color w:val="00B050"/>
                <w:szCs w:val="18"/>
              </w:rPr>
            </w:pPr>
            <w:r w:rsidRPr="00BE4490">
              <w:rPr>
                <w:color w:val="00B050"/>
                <w:szCs w:val="18"/>
              </w:rPr>
              <w:t>Finished Surface</w:t>
            </w:r>
          </w:p>
        </w:tc>
        <w:tc>
          <w:tcPr>
            <w:tcW w:w="1474" w:type="dxa"/>
            <w:tcBorders>
              <w:top w:val="single" w:sz="8" w:space="0" w:color="000000"/>
              <w:left w:val="single" w:sz="10" w:space="0" w:color="000000"/>
              <w:bottom w:val="single" w:sz="8" w:space="0" w:color="000000"/>
              <w:right w:val="single" w:sz="8" w:space="0" w:color="000000"/>
            </w:tcBorders>
          </w:tcPr>
          <w:p w14:paraId="35244D0F"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14:paraId="4CAD1AAE" w14:textId="77777777" w:rsidR="001D65C1" w:rsidRPr="002D18D9" w:rsidRDefault="001D65C1" w:rsidP="00CE24A9">
            <w:pPr>
              <w:pStyle w:val="TableText"/>
              <w:jc w:val="center"/>
              <w:rPr>
                <w:color w:val="00B050"/>
                <w:szCs w:val="18"/>
              </w:rPr>
            </w:pPr>
            <w:r w:rsidRPr="00BE4490">
              <w:rPr>
                <w:color w:val="00B050"/>
                <w:szCs w:val="18"/>
              </w:rPr>
              <w:t>Each Test: 50”/</w:t>
            </w:r>
            <w:proofErr w:type="spellStart"/>
            <w:r w:rsidRPr="00BE4490">
              <w:rPr>
                <w:color w:val="00B050"/>
                <w:szCs w:val="18"/>
              </w:rPr>
              <w:t>hr</w:t>
            </w:r>
            <w:proofErr w:type="spellEnd"/>
            <w:r w:rsidRPr="00BE4490">
              <w:rPr>
                <w:color w:val="00B050"/>
                <w:szCs w:val="18"/>
              </w:rPr>
              <w:t xml:space="preserve"> min</w:t>
            </w:r>
            <w:r w:rsidRPr="00BE4490">
              <w:rPr>
                <w:color w:val="00B050"/>
                <w:szCs w:val="18"/>
              </w:rPr>
              <w:br/>
              <w:t>Daily Avg.: 100”/</w:t>
            </w:r>
            <w:proofErr w:type="spellStart"/>
            <w:r w:rsidRPr="00BE4490">
              <w:rPr>
                <w:color w:val="00B050"/>
                <w:szCs w:val="18"/>
              </w:rPr>
              <w:t>hr</w:t>
            </w:r>
            <w:proofErr w:type="spellEnd"/>
            <w:r w:rsidRPr="00BE4490">
              <w:rPr>
                <w:color w:val="00B050"/>
                <w:szCs w:val="18"/>
              </w:rPr>
              <w:t xml:space="preserve"> min</w:t>
            </w:r>
          </w:p>
        </w:tc>
      </w:tr>
      <w:tr w:rsidR="001D65C1" w:rsidRPr="002D18D9" w14:paraId="28B03E52" w14:textId="77777777" w:rsidTr="005B3195">
        <w:trPr>
          <w:trHeight w:val="381"/>
        </w:trPr>
        <w:tc>
          <w:tcPr>
            <w:tcW w:w="1838" w:type="dxa"/>
            <w:tcBorders>
              <w:top w:val="single" w:sz="8" w:space="0" w:color="000000"/>
              <w:left w:val="single" w:sz="8" w:space="0" w:color="000000"/>
              <w:bottom w:val="single" w:sz="8" w:space="0" w:color="auto"/>
              <w:right w:val="single" w:sz="6" w:space="0" w:color="000000"/>
            </w:tcBorders>
          </w:tcPr>
          <w:p w14:paraId="263CDEBB" w14:textId="77777777" w:rsidR="001D65C1" w:rsidRPr="002D18D9" w:rsidRDefault="001D65C1" w:rsidP="00CE24A9">
            <w:pPr>
              <w:pStyle w:val="TableText"/>
            </w:pPr>
            <w:r w:rsidRPr="00BE4490">
              <w:rPr>
                <w:color w:val="00B050"/>
              </w:rPr>
              <w:t>Pavement Transitions</w:t>
            </w:r>
          </w:p>
        </w:tc>
        <w:tc>
          <w:tcPr>
            <w:tcW w:w="1482" w:type="dxa"/>
            <w:tcBorders>
              <w:top w:val="single" w:sz="8" w:space="0" w:color="000000"/>
              <w:left w:val="single" w:sz="6" w:space="0" w:color="000000"/>
              <w:bottom w:val="single" w:sz="8" w:space="0" w:color="auto"/>
              <w:right w:val="single" w:sz="10" w:space="0" w:color="000000"/>
            </w:tcBorders>
          </w:tcPr>
          <w:p w14:paraId="08397DC2" w14:textId="77777777" w:rsidR="001D65C1" w:rsidRPr="002D18D9" w:rsidRDefault="001D65C1" w:rsidP="00CE24A9">
            <w:pPr>
              <w:pStyle w:val="TableText"/>
              <w:jc w:val="center"/>
              <w:rPr>
                <w:color w:val="00B050"/>
                <w:szCs w:val="18"/>
              </w:rPr>
            </w:pPr>
            <w:r w:rsidRPr="00BE4490">
              <w:rPr>
                <w:color w:val="00B050"/>
                <w:szCs w:val="18"/>
              </w:rPr>
              <w:t>Visual</w:t>
            </w:r>
          </w:p>
        </w:tc>
        <w:tc>
          <w:tcPr>
            <w:tcW w:w="1256" w:type="dxa"/>
            <w:tcBorders>
              <w:top w:val="single" w:sz="8" w:space="0" w:color="000000"/>
              <w:left w:val="single" w:sz="10" w:space="0" w:color="000000"/>
              <w:bottom w:val="single" w:sz="8" w:space="0" w:color="auto"/>
              <w:right w:val="single" w:sz="10" w:space="0" w:color="000000"/>
            </w:tcBorders>
          </w:tcPr>
          <w:p w14:paraId="209A3C71" w14:textId="77777777"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auto"/>
              <w:right w:val="single" w:sz="10" w:space="0" w:color="000000"/>
            </w:tcBorders>
          </w:tcPr>
          <w:p w14:paraId="580D8108" w14:textId="77777777" w:rsidR="001D65C1" w:rsidRPr="002D18D9" w:rsidRDefault="001D65C1" w:rsidP="00CE24A9">
            <w:pPr>
              <w:pStyle w:val="TableText"/>
              <w:jc w:val="center"/>
              <w:rPr>
                <w:color w:val="00B050"/>
                <w:szCs w:val="18"/>
              </w:rPr>
            </w:pPr>
            <w:r w:rsidRPr="00BE4490">
              <w:rPr>
                <w:color w:val="00B050"/>
                <w:szCs w:val="18"/>
              </w:rPr>
              <w:t>AC Transitions</w:t>
            </w:r>
          </w:p>
        </w:tc>
        <w:tc>
          <w:tcPr>
            <w:tcW w:w="1474" w:type="dxa"/>
            <w:tcBorders>
              <w:top w:val="single" w:sz="8" w:space="0" w:color="000000"/>
              <w:left w:val="single" w:sz="10" w:space="0" w:color="000000"/>
              <w:bottom w:val="single" w:sz="8" w:space="0" w:color="auto"/>
              <w:right w:val="single" w:sz="8" w:space="0" w:color="000000"/>
            </w:tcBorders>
          </w:tcPr>
          <w:p w14:paraId="191C02C6" w14:textId="77777777"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auto"/>
              <w:right w:val="single" w:sz="8" w:space="0" w:color="000000"/>
            </w:tcBorders>
          </w:tcPr>
          <w:p w14:paraId="62A32ADD" w14:textId="77777777" w:rsidR="001D65C1" w:rsidRPr="002D18D9" w:rsidRDefault="001D65C1" w:rsidP="00CE24A9">
            <w:pPr>
              <w:pStyle w:val="TableText"/>
              <w:jc w:val="center"/>
              <w:rPr>
                <w:color w:val="00B050"/>
                <w:szCs w:val="18"/>
              </w:rPr>
            </w:pPr>
            <w:r w:rsidRPr="00BE4490">
              <w:rPr>
                <w:color w:val="00B050"/>
                <w:szCs w:val="18"/>
              </w:rPr>
              <w:t>Per Specifications</w:t>
            </w:r>
          </w:p>
        </w:tc>
      </w:tr>
    </w:tbl>
    <w:p w14:paraId="0C53A80F" w14:textId="77777777" w:rsidR="001D65C1" w:rsidRDefault="001D65C1" w:rsidP="00BA0F46">
      <w:pPr>
        <w:pStyle w:val="PART"/>
        <w:numPr>
          <w:ilvl w:val="0"/>
          <w:numId w:val="3"/>
        </w:numPr>
        <w:spacing w:before="360"/>
      </w:pPr>
      <w:r w:rsidRPr="0033721E">
        <w:t>PRODUCTS</w:t>
      </w:r>
    </w:p>
    <w:p w14:paraId="0062F9E1" w14:textId="77777777" w:rsidR="001D65C1" w:rsidRDefault="001D65C1" w:rsidP="001D65C1">
      <w:pPr>
        <w:pStyle w:val="SPECIndent"/>
        <w:rPr>
          <w:color w:val="00B050"/>
        </w:rPr>
      </w:pPr>
      <w:r w:rsidRPr="00BE4490">
        <w:rPr>
          <w:color w:val="00B050"/>
        </w:rPr>
        <w:t>DESIGNER NOTE: If a product is not available, the designer needs to ensure that the desired voids and surface texture will meet the desired pavement characteristics for surface smoothness, voids, and bonding.</w:t>
      </w:r>
    </w:p>
    <w:p w14:paraId="7018E994" w14:textId="77777777" w:rsidR="001D65C1" w:rsidRPr="00AB6444" w:rsidRDefault="001D65C1" w:rsidP="001D65C1">
      <w:pPr>
        <w:pStyle w:val="SPEC1"/>
        <w:numPr>
          <w:ilvl w:val="1"/>
          <w:numId w:val="3"/>
        </w:numPr>
      </w:pPr>
      <w:r w:rsidRPr="00AB6444">
        <w:t>POROUS ASPHALT</w:t>
      </w:r>
    </w:p>
    <w:p w14:paraId="06C5BF7E" w14:textId="77777777" w:rsidR="001D65C1" w:rsidRPr="00BE4490" w:rsidRDefault="001D65C1" w:rsidP="001D65C1">
      <w:pPr>
        <w:pStyle w:val="SPECIndent"/>
        <w:rPr>
          <w:color w:val="00B050"/>
        </w:rPr>
      </w:pPr>
      <w:r w:rsidRPr="00BE4490">
        <w:rPr>
          <w:color w:val="00B050"/>
        </w:rPr>
        <w:t>Porous Asphalt mixture must comply with the approved Job Mix Formula (See Section 1.05 of this Specification). The components of the asphalt mixture must comply with the specifications below.</w:t>
      </w:r>
    </w:p>
    <w:p w14:paraId="6B4FF5D9" w14:textId="77777777" w:rsidR="001D65C1" w:rsidRDefault="001D65C1" w:rsidP="001D65C1">
      <w:pPr>
        <w:pStyle w:val="SPEC2"/>
        <w:numPr>
          <w:ilvl w:val="2"/>
          <w:numId w:val="3"/>
        </w:numPr>
      </w:pPr>
      <w:r w:rsidRPr="00BE4490">
        <w:rPr>
          <w:rStyle w:val="EmphasisUnderline"/>
        </w:rPr>
        <w:t>Asphalt Binder</w:t>
      </w:r>
      <w:r w:rsidRPr="00BE4490">
        <w:t>:</w:t>
      </w:r>
      <w:r>
        <w:t xml:space="preserve"> Asphalt binder must comply with Caltrans Specification Section 92 except as noted below.</w:t>
      </w:r>
    </w:p>
    <w:p w14:paraId="7597850F" w14:textId="77777777" w:rsidR="001D65C1" w:rsidRDefault="001D65C1" w:rsidP="001D65C1">
      <w:pPr>
        <w:pStyle w:val="SPEC3"/>
        <w:numPr>
          <w:ilvl w:val="3"/>
          <w:numId w:val="3"/>
        </w:numPr>
      </w:pPr>
      <w:r w:rsidRPr="00BE4490">
        <w:rPr>
          <w:rStyle w:val="EmphasisUnderline"/>
        </w:rPr>
        <w:t>Performance Graded (PG) Asphalt Binder</w:t>
      </w:r>
      <w:r w:rsidRPr="008F07F7">
        <w:t xml:space="preserve">: PG asphalt binder </w:t>
      </w:r>
      <w:r>
        <w:t>must be PG 70</w:t>
      </w:r>
      <w:r>
        <w:noBreakHyphen/>
        <w:t>10 per Caltrans Specification Section 92</w:t>
      </w:r>
      <w:r>
        <w:noBreakHyphen/>
        <w:t>1.02B.</w:t>
      </w:r>
    </w:p>
    <w:p w14:paraId="50D87AC6" w14:textId="77777777" w:rsidR="001D65C1" w:rsidRDefault="001D65C1" w:rsidP="001D65C1">
      <w:pPr>
        <w:pStyle w:val="SPEC3"/>
        <w:numPr>
          <w:ilvl w:val="3"/>
          <w:numId w:val="3"/>
        </w:numPr>
      </w:pPr>
      <w:r w:rsidRPr="00BE4490">
        <w:rPr>
          <w:rStyle w:val="EmphasisUnderline"/>
        </w:rPr>
        <w:t>PG Polymer Modified Asphalt Binder</w:t>
      </w:r>
      <w:r w:rsidRPr="00BE4490">
        <w:t>:</w:t>
      </w:r>
    </w:p>
    <w:p w14:paraId="1BEACE2E" w14:textId="77777777" w:rsidR="001D65C1" w:rsidRDefault="001D65C1" w:rsidP="001D65C1">
      <w:pPr>
        <w:pStyle w:val="SPECIndent3"/>
      </w:pPr>
      <w:r w:rsidRPr="00DA4B41">
        <w:lastRenderedPageBreak/>
        <w:t xml:space="preserve">PG polymer </w:t>
      </w:r>
      <w:r>
        <w:t>modified asphalt binder must be PG 76</w:t>
      </w:r>
      <w:r>
        <w:noBreakHyphen/>
        <w:t>22 PM per Caltrans Specification Section 92</w:t>
      </w:r>
      <w:r>
        <w:noBreakHyphen/>
        <w:t>1.02B for use in vehicular applications.</w:t>
      </w:r>
    </w:p>
    <w:p w14:paraId="19F482CB" w14:textId="77777777" w:rsidR="001D65C1" w:rsidRDefault="001D65C1" w:rsidP="001D65C1">
      <w:pPr>
        <w:pStyle w:val="SPECIndent3"/>
      </w:pPr>
      <w:r w:rsidRPr="00DA4B41">
        <w:t xml:space="preserve">PG polymer </w:t>
      </w:r>
      <w:r>
        <w:t>modified asphalt binder must be either PG 64</w:t>
      </w:r>
      <w:r>
        <w:noBreakHyphen/>
        <w:t>28 PM or PG 76-22 PM per Caltrans Specification Section 92-1.02B for use in pedestrian applications.</w:t>
      </w:r>
    </w:p>
    <w:p w14:paraId="544A758B" w14:textId="77777777" w:rsidR="001D65C1" w:rsidRDefault="001D65C1" w:rsidP="001D65C1">
      <w:pPr>
        <w:pStyle w:val="SPEC2"/>
        <w:numPr>
          <w:ilvl w:val="2"/>
          <w:numId w:val="3"/>
        </w:numPr>
      </w:pPr>
      <w:r w:rsidRPr="00BE4490">
        <w:rPr>
          <w:rStyle w:val="EmphasisUnderline"/>
        </w:rPr>
        <w:t>Aggregates</w:t>
      </w:r>
      <w:r w:rsidRPr="00BE4490">
        <w:t>:</w:t>
      </w:r>
      <w:r w:rsidRPr="00A23B02">
        <w:t xml:space="preserve"> </w:t>
      </w:r>
      <w:r w:rsidRPr="003F109C">
        <w:t xml:space="preserve">Aggregates </w:t>
      </w:r>
      <w:r>
        <w:t>shall conform to Caltrans Specification Section 39</w:t>
      </w:r>
      <w:r>
        <w:noBreakHyphen/>
        <w:t>1.02E for Open Graded Friction Course (OGFC) with the following additions and modifications</w:t>
      </w:r>
      <w:r w:rsidRPr="00635F21">
        <w:t>:</w:t>
      </w:r>
    </w:p>
    <w:p w14:paraId="478C407E" w14:textId="77777777" w:rsidR="001D65C1" w:rsidRPr="00635F21" w:rsidRDefault="001D65C1" w:rsidP="001D65C1">
      <w:pPr>
        <w:pStyle w:val="SPEC3"/>
        <w:numPr>
          <w:ilvl w:val="3"/>
          <w:numId w:val="3"/>
        </w:numPr>
      </w:pPr>
      <w:r w:rsidRPr="00BE4490">
        <w:rPr>
          <w:rStyle w:val="EmphasisUnderline"/>
        </w:rPr>
        <w:t>Durability Index</w:t>
      </w:r>
      <w:r>
        <w:t>: 35 (minimum)</w:t>
      </w:r>
      <w:r w:rsidRPr="00635F21">
        <w:t xml:space="preserve"> tested </w:t>
      </w:r>
      <w:r>
        <w:t>in accordance with</w:t>
      </w:r>
      <w:r w:rsidRPr="00635F21">
        <w:t xml:space="preserve"> </w:t>
      </w:r>
      <w:r>
        <w:t>California Test </w:t>
      </w:r>
      <w:r w:rsidRPr="00635F21">
        <w:t>229</w:t>
      </w:r>
      <w:r>
        <w:t xml:space="preserve"> at least once per 750 </w:t>
      </w:r>
      <w:r w:rsidRPr="00560F99">
        <w:t xml:space="preserve">tons of porous </w:t>
      </w:r>
      <w:r w:rsidRPr="005F0DB3">
        <w:t>asphalt</w:t>
      </w:r>
      <w:r w:rsidRPr="00635F21">
        <w:t>.</w:t>
      </w:r>
    </w:p>
    <w:p w14:paraId="6A930A4C" w14:textId="77777777" w:rsidR="001D65C1" w:rsidRPr="003D3C21" w:rsidRDefault="001D65C1" w:rsidP="001D65C1">
      <w:pPr>
        <w:pStyle w:val="SPEC3"/>
        <w:numPr>
          <w:ilvl w:val="3"/>
          <w:numId w:val="3"/>
        </w:numPr>
      </w:pPr>
      <w:r w:rsidRPr="00BE4490">
        <w:rPr>
          <w:rStyle w:val="EmphasisUnderline"/>
        </w:rPr>
        <w:t>Cleanness Value</w:t>
      </w:r>
      <w:r w:rsidRPr="00D9561E">
        <w:t xml:space="preserve">: 75 (minimum) tested in </w:t>
      </w:r>
      <w:r>
        <w:t>accordance with California Test </w:t>
      </w:r>
      <w:r w:rsidRPr="00D9561E">
        <w:t xml:space="preserve">227 </w:t>
      </w:r>
      <w:r>
        <w:t>at least once per 750 </w:t>
      </w:r>
      <w:r w:rsidRPr="00C2450B">
        <w:t>tons of porous asphalt</w:t>
      </w:r>
      <w:r w:rsidRPr="00D9561E">
        <w:t>.</w:t>
      </w:r>
    </w:p>
    <w:p w14:paraId="25FEEE5C" w14:textId="77777777" w:rsidR="001D65C1" w:rsidRDefault="001D65C1" w:rsidP="001D65C1">
      <w:pPr>
        <w:pStyle w:val="SPEC3"/>
        <w:numPr>
          <w:ilvl w:val="3"/>
          <w:numId w:val="3"/>
        </w:numPr>
      </w:pPr>
      <w:r>
        <w:t>Aggregate for porous asphalt shall meet the following gradation:</w:t>
      </w:r>
    </w:p>
    <w:tbl>
      <w:tblPr>
        <w:tblStyle w:val="TableGrid"/>
        <w:tblW w:w="0" w:type="auto"/>
        <w:jc w:val="center"/>
        <w:tblLook w:val="04A0" w:firstRow="1" w:lastRow="0" w:firstColumn="1" w:lastColumn="0" w:noHBand="0" w:noVBand="1"/>
      </w:tblPr>
      <w:tblGrid>
        <w:gridCol w:w="2773"/>
        <w:gridCol w:w="2773"/>
      </w:tblGrid>
      <w:tr w:rsidR="001D65C1" w14:paraId="0473356A" w14:textId="77777777" w:rsidTr="00CE24A9">
        <w:trPr>
          <w:cantSplit/>
          <w:jc w:val="center"/>
        </w:trPr>
        <w:tc>
          <w:tcPr>
            <w:tcW w:w="5546" w:type="dxa"/>
            <w:gridSpan w:val="2"/>
            <w:vAlign w:val="bottom"/>
          </w:tcPr>
          <w:p w14:paraId="400B16B7" w14:textId="77777777" w:rsidR="001D65C1" w:rsidRDefault="001D65C1" w:rsidP="00CE24A9">
            <w:pPr>
              <w:pStyle w:val="TableHeading"/>
            </w:pPr>
            <w:r>
              <w:t>Porous Asphalt Aggregate Gradation</w:t>
            </w:r>
          </w:p>
        </w:tc>
      </w:tr>
      <w:tr w:rsidR="001D65C1" w14:paraId="111148DB" w14:textId="77777777" w:rsidTr="00CE24A9">
        <w:trPr>
          <w:cantSplit/>
          <w:jc w:val="center"/>
        </w:trPr>
        <w:tc>
          <w:tcPr>
            <w:tcW w:w="2773" w:type="dxa"/>
            <w:vAlign w:val="bottom"/>
          </w:tcPr>
          <w:p w14:paraId="52D4C932" w14:textId="77777777" w:rsidR="001D65C1" w:rsidRDefault="001D65C1" w:rsidP="00CE24A9">
            <w:pPr>
              <w:pStyle w:val="TableHeading"/>
            </w:pPr>
            <w:r>
              <w:t>Sieve</w:t>
            </w:r>
            <w:r w:rsidRPr="00BE4490">
              <w:rPr>
                <w:sz w:val="20"/>
                <w:vertAlign w:val="superscript"/>
              </w:rPr>
              <w:t>1</w:t>
            </w:r>
          </w:p>
        </w:tc>
        <w:tc>
          <w:tcPr>
            <w:tcW w:w="2773" w:type="dxa"/>
            <w:vAlign w:val="bottom"/>
          </w:tcPr>
          <w:p w14:paraId="48376B04" w14:textId="77777777" w:rsidR="001D65C1" w:rsidRDefault="001D65C1" w:rsidP="00CE24A9">
            <w:pPr>
              <w:pStyle w:val="TableHeading"/>
            </w:pPr>
            <w:r>
              <w:t>Percent Passing by Weight</w:t>
            </w:r>
          </w:p>
        </w:tc>
      </w:tr>
      <w:tr w:rsidR="001D65C1" w14:paraId="6C0FF584" w14:textId="77777777" w:rsidTr="00CE24A9">
        <w:trPr>
          <w:cantSplit/>
          <w:jc w:val="center"/>
        </w:trPr>
        <w:tc>
          <w:tcPr>
            <w:tcW w:w="2773" w:type="dxa"/>
            <w:vAlign w:val="center"/>
          </w:tcPr>
          <w:p w14:paraId="5F24A936" w14:textId="77777777" w:rsidR="001D65C1" w:rsidRDefault="001D65C1" w:rsidP="00CE24A9">
            <w:pPr>
              <w:pStyle w:val="TableText"/>
              <w:jc w:val="center"/>
            </w:pPr>
            <w:r>
              <w:t>3/4 inch</w:t>
            </w:r>
          </w:p>
        </w:tc>
        <w:tc>
          <w:tcPr>
            <w:tcW w:w="2773" w:type="dxa"/>
            <w:vAlign w:val="center"/>
          </w:tcPr>
          <w:p w14:paraId="1C7C6A8A" w14:textId="77777777" w:rsidR="001D65C1" w:rsidRDefault="001D65C1" w:rsidP="00CE24A9">
            <w:pPr>
              <w:pStyle w:val="TableText"/>
              <w:jc w:val="center"/>
            </w:pPr>
            <w:r>
              <w:t>100</w:t>
            </w:r>
          </w:p>
        </w:tc>
      </w:tr>
      <w:tr w:rsidR="001D65C1" w14:paraId="5A244DFA" w14:textId="77777777" w:rsidTr="00CE24A9">
        <w:trPr>
          <w:cantSplit/>
          <w:jc w:val="center"/>
        </w:trPr>
        <w:tc>
          <w:tcPr>
            <w:tcW w:w="2773" w:type="dxa"/>
            <w:vAlign w:val="center"/>
          </w:tcPr>
          <w:p w14:paraId="3B4AAA6F" w14:textId="77777777" w:rsidR="001D65C1" w:rsidRDefault="001D65C1" w:rsidP="00CE24A9">
            <w:pPr>
              <w:pStyle w:val="TableText"/>
              <w:jc w:val="center"/>
            </w:pPr>
            <w:r>
              <w:t>1/2 inch</w:t>
            </w:r>
          </w:p>
        </w:tc>
        <w:tc>
          <w:tcPr>
            <w:tcW w:w="2773" w:type="dxa"/>
            <w:vAlign w:val="center"/>
          </w:tcPr>
          <w:p w14:paraId="3A794A4D" w14:textId="77777777" w:rsidR="001D65C1" w:rsidRDefault="001D65C1" w:rsidP="00CE24A9">
            <w:pPr>
              <w:pStyle w:val="TableText"/>
              <w:jc w:val="center"/>
            </w:pPr>
            <w:r>
              <w:t>85 to 100</w:t>
            </w:r>
          </w:p>
        </w:tc>
      </w:tr>
      <w:tr w:rsidR="001D65C1" w14:paraId="215B3EC4" w14:textId="77777777" w:rsidTr="00CE24A9">
        <w:trPr>
          <w:cantSplit/>
          <w:jc w:val="center"/>
        </w:trPr>
        <w:tc>
          <w:tcPr>
            <w:tcW w:w="2773" w:type="dxa"/>
            <w:vAlign w:val="center"/>
          </w:tcPr>
          <w:p w14:paraId="3DD06023" w14:textId="77777777" w:rsidR="001D65C1" w:rsidRDefault="001D65C1" w:rsidP="00CE24A9">
            <w:pPr>
              <w:pStyle w:val="TableText"/>
              <w:jc w:val="center"/>
            </w:pPr>
            <w:r>
              <w:t>3/8 inch</w:t>
            </w:r>
          </w:p>
        </w:tc>
        <w:tc>
          <w:tcPr>
            <w:tcW w:w="2773" w:type="dxa"/>
            <w:vAlign w:val="center"/>
          </w:tcPr>
          <w:p w14:paraId="7E050344" w14:textId="77777777" w:rsidR="001D65C1" w:rsidRDefault="001D65C1" w:rsidP="00CE24A9">
            <w:pPr>
              <w:pStyle w:val="TableText"/>
              <w:jc w:val="center"/>
            </w:pPr>
            <w:r>
              <w:t>55 to 75</w:t>
            </w:r>
          </w:p>
        </w:tc>
      </w:tr>
      <w:tr w:rsidR="001D65C1" w14:paraId="4D431449" w14:textId="77777777" w:rsidTr="00CE24A9">
        <w:trPr>
          <w:cantSplit/>
          <w:jc w:val="center"/>
        </w:trPr>
        <w:tc>
          <w:tcPr>
            <w:tcW w:w="2773" w:type="dxa"/>
            <w:vAlign w:val="center"/>
          </w:tcPr>
          <w:p w14:paraId="4483B0CE" w14:textId="77777777" w:rsidR="001D65C1" w:rsidRDefault="001D65C1" w:rsidP="00CE24A9">
            <w:pPr>
              <w:pStyle w:val="TableText"/>
              <w:jc w:val="center"/>
            </w:pPr>
            <w:r>
              <w:t>No. 4</w:t>
            </w:r>
          </w:p>
        </w:tc>
        <w:tc>
          <w:tcPr>
            <w:tcW w:w="2773" w:type="dxa"/>
            <w:vAlign w:val="center"/>
          </w:tcPr>
          <w:p w14:paraId="0B22B33E" w14:textId="77777777" w:rsidR="001D65C1" w:rsidRDefault="001D65C1" w:rsidP="00CE24A9">
            <w:pPr>
              <w:pStyle w:val="TableText"/>
              <w:jc w:val="center"/>
            </w:pPr>
            <w:r>
              <w:t>10 to 25</w:t>
            </w:r>
          </w:p>
        </w:tc>
      </w:tr>
      <w:tr w:rsidR="001D65C1" w14:paraId="74343DF6" w14:textId="77777777" w:rsidTr="00CE24A9">
        <w:trPr>
          <w:cantSplit/>
          <w:jc w:val="center"/>
        </w:trPr>
        <w:tc>
          <w:tcPr>
            <w:tcW w:w="2773" w:type="dxa"/>
            <w:vAlign w:val="center"/>
          </w:tcPr>
          <w:p w14:paraId="216E084B" w14:textId="77777777" w:rsidR="001D65C1" w:rsidRDefault="001D65C1" w:rsidP="00CE24A9">
            <w:pPr>
              <w:pStyle w:val="TableText"/>
              <w:jc w:val="center"/>
            </w:pPr>
            <w:r>
              <w:t>No. 8</w:t>
            </w:r>
          </w:p>
        </w:tc>
        <w:tc>
          <w:tcPr>
            <w:tcW w:w="2773" w:type="dxa"/>
            <w:vAlign w:val="center"/>
          </w:tcPr>
          <w:p w14:paraId="1540DB92" w14:textId="77777777" w:rsidR="001D65C1" w:rsidRDefault="001D65C1" w:rsidP="00CE24A9">
            <w:pPr>
              <w:pStyle w:val="TableText"/>
              <w:jc w:val="center"/>
            </w:pPr>
            <w:r>
              <w:t>5 to 12</w:t>
            </w:r>
          </w:p>
        </w:tc>
      </w:tr>
      <w:tr w:rsidR="001D65C1" w14:paraId="58FA84A0" w14:textId="77777777" w:rsidTr="00CE24A9">
        <w:trPr>
          <w:cantSplit/>
          <w:jc w:val="center"/>
        </w:trPr>
        <w:tc>
          <w:tcPr>
            <w:tcW w:w="2773" w:type="dxa"/>
            <w:vAlign w:val="center"/>
          </w:tcPr>
          <w:p w14:paraId="133A02FA" w14:textId="77777777" w:rsidR="001D65C1" w:rsidRDefault="001D65C1" w:rsidP="00CE24A9">
            <w:pPr>
              <w:pStyle w:val="TableText"/>
              <w:jc w:val="center"/>
            </w:pPr>
            <w:r>
              <w:t>No. 30</w:t>
            </w:r>
          </w:p>
        </w:tc>
        <w:tc>
          <w:tcPr>
            <w:tcW w:w="2773" w:type="dxa"/>
            <w:vAlign w:val="center"/>
          </w:tcPr>
          <w:p w14:paraId="3390E6FF" w14:textId="77777777" w:rsidR="001D65C1" w:rsidRDefault="001D65C1" w:rsidP="00CE24A9">
            <w:pPr>
              <w:pStyle w:val="TableText"/>
              <w:jc w:val="center"/>
            </w:pPr>
            <w:r>
              <w:t>0 to 10</w:t>
            </w:r>
          </w:p>
        </w:tc>
      </w:tr>
      <w:tr w:rsidR="001D65C1" w14:paraId="43978E07" w14:textId="77777777" w:rsidTr="00CE24A9">
        <w:trPr>
          <w:cantSplit/>
          <w:jc w:val="center"/>
        </w:trPr>
        <w:tc>
          <w:tcPr>
            <w:tcW w:w="2773" w:type="dxa"/>
            <w:vAlign w:val="center"/>
          </w:tcPr>
          <w:p w14:paraId="1DBECC9D" w14:textId="77777777" w:rsidR="001D65C1" w:rsidRDefault="001D65C1" w:rsidP="00CE24A9">
            <w:pPr>
              <w:pStyle w:val="TableText"/>
              <w:jc w:val="center"/>
            </w:pPr>
            <w:r>
              <w:t>No. 200</w:t>
            </w:r>
          </w:p>
        </w:tc>
        <w:tc>
          <w:tcPr>
            <w:tcW w:w="2773" w:type="dxa"/>
            <w:vAlign w:val="center"/>
          </w:tcPr>
          <w:p w14:paraId="3BBC5862" w14:textId="77777777" w:rsidR="001D65C1" w:rsidRDefault="001D65C1" w:rsidP="00CE24A9">
            <w:pPr>
              <w:pStyle w:val="TableText"/>
              <w:jc w:val="center"/>
            </w:pPr>
            <w:r>
              <w:t>0 to 3</w:t>
            </w:r>
          </w:p>
        </w:tc>
      </w:tr>
    </w:tbl>
    <w:p w14:paraId="283087FF" w14:textId="77777777" w:rsidR="001D65C1" w:rsidRDefault="001D65C1" w:rsidP="001D65C1">
      <w:pPr>
        <w:pStyle w:val="tablenote"/>
        <w:spacing w:after="240"/>
        <w:ind w:left="2160"/>
      </w:pPr>
      <w:r w:rsidRPr="00BE4490">
        <w:rPr>
          <w:sz w:val="20"/>
          <w:szCs w:val="18"/>
          <w:vertAlign w:val="superscript"/>
        </w:rPr>
        <w:t>1</w:t>
      </w:r>
      <w:r>
        <w:rPr>
          <w:szCs w:val="18"/>
        </w:rPr>
        <w:tab/>
      </w:r>
      <w:r w:rsidRPr="00AE4D09">
        <w:t xml:space="preserve">Sieve provided in nominal size square openings or United States </w:t>
      </w:r>
      <w:r>
        <w:br/>
      </w:r>
      <w:r w:rsidRPr="00AE4D09">
        <w:t>Standard Sieve Series sizes.</w:t>
      </w:r>
    </w:p>
    <w:p w14:paraId="68DE193A" w14:textId="77777777" w:rsidR="001D65C1" w:rsidRDefault="001D65C1" w:rsidP="001D65C1">
      <w:pPr>
        <w:pStyle w:val="SPEC2"/>
        <w:numPr>
          <w:ilvl w:val="2"/>
          <w:numId w:val="3"/>
        </w:numPr>
      </w:pPr>
      <w:r w:rsidRPr="00BE4490">
        <w:rPr>
          <w:rStyle w:val="EmphasisUnderline"/>
        </w:rPr>
        <w:t>Materials Not to Be Used</w:t>
      </w:r>
      <w:r>
        <w:t>: The following materials shall not be used unless approved in advance by the Engineer.</w:t>
      </w:r>
    </w:p>
    <w:p w14:paraId="2B7AACE0" w14:textId="77777777" w:rsidR="001D65C1" w:rsidRDefault="001D65C1" w:rsidP="001D65C1">
      <w:pPr>
        <w:pStyle w:val="SPEC3"/>
        <w:numPr>
          <w:ilvl w:val="3"/>
          <w:numId w:val="3"/>
        </w:numPr>
      </w:pPr>
      <w:r>
        <w:t>Geosynthetic pavement interlayer</w:t>
      </w:r>
    </w:p>
    <w:p w14:paraId="1C46C8F2" w14:textId="77777777" w:rsidR="001D65C1" w:rsidRDefault="001D65C1" w:rsidP="001D65C1">
      <w:pPr>
        <w:pStyle w:val="SPEC3"/>
        <w:numPr>
          <w:ilvl w:val="3"/>
          <w:numId w:val="3"/>
        </w:numPr>
      </w:pPr>
      <w:r>
        <w:t>Tack Coat (except on vertical faces of curbs, edges of PCC structures, or when paving over areas with impermeable bases).</w:t>
      </w:r>
    </w:p>
    <w:p w14:paraId="6297AEE6" w14:textId="77777777" w:rsidR="001D65C1" w:rsidRDefault="001D65C1" w:rsidP="001D65C1">
      <w:pPr>
        <w:pStyle w:val="SPEC3"/>
        <w:numPr>
          <w:ilvl w:val="3"/>
          <w:numId w:val="3"/>
        </w:numPr>
      </w:pPr>
      <w:r>
        <w:t>Asphalt Rubber Binder.</w:t>
      </w:r>
    </w:p>
    <w:p w14:paraId="701D963A" w14:textId="77777777" w:rsidR="001D65C1" w:rsidRDefault="001D65C1" w:rsidP="001D65C1">
      <w:pPr>
        <w:pStyle w:val="SPEC3"/>
        <w:numPr>
          <w:ilvl w:val="3"/>
          <w:numId w:val="3"/>
        </w:numPr>
      </w:pPr>
      <w:r>
        <w:t>Crumb Rubber Modifier.</w:t>
      </w:r>
    </w:p>
    <w:p w14:paraId="3A1925C2" w14:textId="77777777" w:rsidR="001D65C1" w:rsidRDefault="001D65C1" w:rsidP="001D65C1">
      <w:pPr>
        <w:pStyle w:val="SPEC3"/>
        <w:numPr>
          <w:ilvl w:val="3"/>
          <w:numId w:val="3"/>
        </w:numPr>
      </w:pPr>
      <w:r>
        <w:t>Reclaimed Asphalt Pavement.</w:t>
      </w:r>
    </w:p>
    <w:p w14:paraId="71CA5286" w14:textId="77777777" w:rsidR="001D65C1" w:rsidRDefault="001D65C1" w:rsidP="001D65C1">
      <w:pPr>
        <w:pStyle w:val="SPEC3"/>
        <w:numPr>
          <w:ilvl w:val="3"/>
          <w:numId w:val="3"/>
        </w:numPr>
      </w:pPr>
      <w:r>
        <w:t>Paint Binder per Section 212.06 of the DPW Standard Specifications</w:t>
      </w:r>
    </w:p>
    <w:p w14:paraId="79CCD0B8" w14:textId="77777777" w:rsidR="001D65C1" w:rsidRDefault="001D65C1" w:rsidP="001D65C1">
      <w:pPr>
        <w:pStyle w:val="SPEC2"/>
        <w:numPr>
          <w:ilvl w:val="2"/>
          <w:numId w:val="3"/>
        </w:numPr>
      </w:pPr>
      <w:r w:rsidRPr="00BE4490">
        <w:rPr>
          <w:rStyle w:val="EmphasisUnderline"/>
        </w:rPr>
        <w:t>Job Mix Formula (JMF)</w:t>
      </w:r>
      <w:r>
        <w:t>: The JMF shall comply with the requirements of Section 1.05.C of this Specification.</w:t>
      </w:r>
    </w:p>
    <w:p w14:paraId="41700E5E" w14:textId="47B26020" w:rsidR="001D65C1" w:rsidRPr="0033721E" w:rsidRDefault="000013F7" w:rsidP="001D65C1">
      <w:pPr>
        <w:pStyle w:val="SPEC1"/>
        <w:numPr>
          <w:ilvl w:val="1"/>
          <w:numId w:val="3"/>
        </w:numPr>
      </w:pPr>
      <w:r>
        <w:rPr>
          <w:caps w:val="0"/>
        </w:rPr>
        <w:lastRenderedPageBreak/>
        <w:t>PAVEMENT</w:t>
      </w:r>
      <w:r w:rsidRPr="0033721E">
        <w:rPr>
          <w:caps w:val="0"/>
        </w:rPr>
        <w:t xml:space="preserve"> BASE</w:t>
      </w:r>
    </w:p>
    <w:p w14:paraId="02E3F8CE" w14:textId="77777777" w:rsidR="001D65C1" w:rsidRPr="00560F99" w:rsidRDefault="001D65C1" w:rsidP="001D65C1">
      <w:pPr>
        <w:pStyle w:val="SPEC2"/>
        <w:numPr>
          <w:ilvl w:val="2"/>
          <w:numId w:val="3"/>
        </w:numPr>
      </w:pPr>
      <w:r>
        <w:t xml:space="preserve">Pavement Base Material shall consist of clean, mechanically crushed stone, substantially free from adherent coatings. Materials shall be washed thoroughly to remove clay, organic matter, </w:t>
      </w:r>
      <w:r w:rsidRPr="00C47868">
        <w:t>extraneous</w:t>
      </w:r>
      <w:r>
        <w:t xml:space="preserve"> debris, or objectionable materials. Recycled materials are not permitted. The Material</w:t>
      </w:r>
      <w:r w:rsidRPr="00A41193">
        <w:t xml:space="preserve"> shall be obtained only from </w:t>
      </w:r>
      <w:r>
        <w:t xml:space="preserve">a </w:t>
      </w:r>
      <w:r w:rsidRPr="00A41193">
        <w:t>source</w:t>
      </w:r>
      <w:r>
        <w:t>(</w:t>
      </w:r>
      <w:r w:rsidRPr="00A41193">
        <w:t>s</w:t>
      </w:r>
      <w:r>
        <w:t>)</w:t>
      </w:r>
      <w:r w:rsidRPr="00A41193">
        <w:t xml:space="preserve"> approved by the Engineer. Written requests for source approval shall be submitted to the Engineer not less than </w:t>
      </w:r>
      <w:r>
        <w:t>10 </w:t>
      </w:r>
      <w:r w:rsidRPr="00A41193">
        <w:t>Working Days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w:t>
      </w:r>
      <w:r>
        <w:t xml:space="preserve"> new</w:t>
      </w:r>
      <w:r w:rsidRPr="00A41193">
        <w:t xml:space="preserve">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w:t>
      </w:r>
      <w:r>
        <w:t xml:space="preserve">the </w:t>
      </w:r>
      <w:r w:rsidRPr="00A41193">
        <w:t>Contract. The Engineer shall reserve the right to sample and test Material at any time including at the source</w:t>
      </w:r>
      <w:r w:rsidRPr="00560F99">
        <w:t>.</w:t>
      </w:r>
    </w:p>
    <w:p w14:paraId="7ECCA357" w14:textId="77777777" w:rsidR="001D65C1" w:rsidRDefault="001D65C1" w:rsidP="001D65C1">
      <w:pPr>
        <w:pStyle w:val="SPEC2"/>
        <w:numPr>
          <w:ilvl w:val="2"/>
          <w:numId w:val="3"/>
        </w:numPr>
      </w:pPr>
      <w:r>
        <w:t>Pavement Base shall consist of up to two (2) layers as specified on the Plans and included herein:</w:t>
      </w:r>
    </w:p>
    <w:p w14:paraId="0BA33CC4" w14:textId="77777777" w:rsidR="001D65C1" w:rsidRDefault="001D65C1" w:rsidP="001D65C1">
      <w:pPr>
        <w:pStyle w:val="SPEC3"/>
        <w:numPr>
          <w:ilvl w:val="3"/>
          <w:numId w:val="3"/>
        </w:numPr>
      </w:pPr>
      <w:r>
        <w:t xml:space="preserve">“Base Course” shall be ASTM No. 3 (modified) or ASTM No. 57 (modified) </w:t>
      </w:r>
      <w:r w:rsidRPr="007A2E6D">
        <w:t xml:space="preserve">stone per </w:t>
      </w:r>
      <w:r>
        <w:t>Section </w:t>
      </w:r>
      <w:r w:rsidRPr="007A2E6D">
        <w:t>2.</w:t>
      </w:r>
      <w:r w:rsidRPr="005F0DB3">
        <w:t>0</w:t>
      </w:r>
      <w:r w:rsidRPr="00560F99">
        <w:t>2</w:t>
      </w:r>
      <w:r w:rsidRPr="007A2E6D">
        <w:t>.C.</w:t>
      </w:r>
    </w:p>
    <w:p w14:paraId="105EF4DC" w14:textId="77777777" w:rsidR="001D65C1" w:rsidRDefault="001D65C1" w:rsidP="001D65C1">
      <w:pPr>
        <w:pStyle w:val="SPECIndent3"/>
        <w:rPr>
          <w:color w:val="00B050"/>
        </w:rPr>
      </w:pPr>
      <w:r w:rsidRPr="00BE4490">
        <w:rPr>
          <w:color w:val="00B050"/>
        </w:rPr>
        <w:t>DESIGNER NOTE: This layer of the pavement base is intended to provide structural (load bearing) capacity to the pavement.</w:t>
      </w:r>
    </w:p>
    <w:p w14:paraId="25E4649B" w14:textId="77777777" w:rsidR="001D65C1" w:rsidRDefault="001D65C1" w:rsidP="001D65C1">
      <w:pPr>
        <w:pStyle w:val="SPEC3"/>
        <w:numPr>
          <w:ilvl w:val="3"/>
          <w:numId w:val="3"/>
        </w:numPr>
      </w:pPr>
      <w:r>
        <w:t>“Reservoir Course” shall be ASTM No. 2 (modified), ASTM No. 3 (modified), or ASTM No. 57 (</w:t>
      </w:r>
      <w:r w:rsidRPr="007A2E6D">
        <w:t xml:space="preserve">modified) stone per </w:t>
      </w:r>
      <w:r>
        <w:t>Section </w:t>
      </w:r>
      <w:r w:rsidRPr="005F0DB3">
        <w:t>2.0</w:t>
      </w:r>
      <w:r w:rsidRPr="00560F99">
        <w:t>2</w:t>
      </w:r>
      <w:r w:rsidRPr="007A2E6D">
        <w:t>.C.</w:t>
      </w:r>
    </w:p>
    <w:p w14:paraId="45F44921" w14:textId="77777777" w:rsidR="001D65C1" w:rsidRDefault="001D65C1" w:rsidP="001D65C1">
      <w:pPr>
        <w:pStyle w:val="SPECIndent3"/>
        <w:rPr>
          <w:color w:val="00B050"/>
        </w:rPr>
      </w:pPr>
      <w:r w:rsidRPr="00CC76A7">
        <w:rPr>
          <w:color w:val="00B050"/>
        </w:rPr>
        <w:t>DESIGNER NOTE: This layer of the pavement base is intended to provide storage and drainage of the pavement, structural support, and a capillary break. The materials specified should be crushed, clean, washed gravel to provide the desired structural capacity, maintain good drainage, function as a capillary barrier, and minimize clogging of the subgrade due to export of fines.</w:t>
      </w:r>
    </w:p>
    <w:p w14:paraId="47A64104" w14:textId="77777777" w:rsidR="001D65C1" w:rsidRDefault="001D65C1" w:rsidP="001D65C1">
      <w:pPr>
        <w:pStyle w:val="SPECIndent2"/>
        <w:rPr>
          <w:color w:val="00B050"/>
        </w:rPr>
      </w:pPr>
      <w:r w:rsidRPr="00BE4490">
        <w:rPr>
          <w:color w:val="00B050"/>
        </w:rPr>
        <w:t>DESIGNER NOTE: If the designer chooses to specify materials that differ from those provided herein, the designer should check their filter criteria to evaluate the likelihood of finer-graded material migration into underlying coarser graded materials or reduction in permeability relative to the underlying material. Refer to the SFPUC aggregate filter criteria guidance document for information on selecting appropriate alternate materials.</w:t>
      </w:r>
    </w:p>
    <w:p w14:paraId="501921F9" w14:textId="77777777" w:rsidR="001D65C1" w:rsidRDefault="001D65C1" w:rsidP="001D65C1">
      <w:pPr>
        <w:pStyle w:val="SPEC2"/>
        <w:numPr>
          <w:ilvl w:val="2"/>
          <w:numId w:val="3"/>
        </w:numPr>
      </w:pPr>
      <w:r w:rsidRPr="00560F99">
        <w:t>Pavement Base Material shall meet the following specifications for grading and quality.</w:t>
      </w:r>
    </w:p>
    <w:p w14:paraId="6F394065" w14:textId="77777777" w:rsidR="001D65C1" w:rsidRPr="00560F99" w:rsidRDefault="001D65C1" w:rsidP="001D65C1">
      <w:pPr>
        <w:pStyle w:val="SPEC3"/>
        <w:numPr>
          <w:ilvl w:val="3"/>
          <w:numId w:val="3"/>
        </w:numPr>
      </w:pPr>
      <w:r w:rsidRPr="00560F99">
        <w:t>Aggregate Gradation</w:t>
      </w:r>
      <w:r>
        <w:t xml:space="preserve"> tested in accordance with ASTM </w:t>
      </w:r>
      <w:r w:rsidRPr="00560F99">
        <w:t xml:space="preserve">C136 </w:t>
      </w:r>
      <w:r>
        <w:t>at least once per 500 </w:t>
      </w:r>
      <w:r w:rsidRPr="00560F99">
        <w:t>cubic yards of base material.</w:t>
      </w:r>
    </w:p>
    <w:tbl>
      <w:tblPr>
        <w:tblStyle w:val="TableGrid"/>
        <w:tblW w:w="0" w:type="auto"/>
        <w:tblInd w:w="1384" w:type="dxa"/>
        <w:tblLook w:val="04A0" w:firstRow="1" w:lastRow="0" w:firstColumn="1" w:lastColumn="0" w:noHBand="0" w:noVBand="1"/>
      </w:tblPr>
      <w:tblGrid>
        <w:gridCol w:w="1658"/>
        <w:gridCol w:w="1803"/>
        <w:gridCol w:w="1577"/>
        <w:gridCol w:w="1577"/>
        <w:gridCol w:w="1577"/>
      </w:tblGrid>
      <w:tr w:rsidR="001D65C1" w14:paraId="6D8233E2" w14:textId="77777777" w:rsidTr="00CE24A9">
        <w:trPr>
          <w:tblHeader/>
        </w:trPr>
        <w:tc>
          <w:tcPr>
            <w:tcW w:w="1658" w:type="dxa"/>
            <w:vMerge w:val="restart"/>
            <w:vAlign w:val="bottom"/>
          </w:tcPr>
          <w:p w14:paraId="026854F6" w14:textId="77777777" w:rsidR="001D65C1" w:rsidRDefault="001D65C1" w:rsidP="00CE24A9">
            <w:pPr>
              <w:pStyle w:val="TableHeading"/>
            </w:pPr>
            <w:r>
              <w:lastRenderedPageBreak/>
              <w:t>Sieve</w:t>
            </w:r>
            <w:r w:rsidRPr="00BE4490">
              <w:rPr>
                <w:sz w:val="20"/>
                <w:vertAlign w:val="superscript"/>
              </w:rPr>
              <w:t>1</w:t>
            </w:r>
          </w:p>
        </w:tc>
        <w:tc>
          <w:tcPr>
            <w:tcW w:w="6534" w:type="dxa"/>
            <w:gridSpan w:val="4"/>
            <w:vAlign w:val="bottom"/>
          </w:tcPr>
          <w:p w14:paraId="779014FD" w14:textId="77777777" w:rsidR="001D65C1" w:rsidRDefault="001D65C1" w:rsidP="00CE24A9">
            <w:pPr>
              <w:pStyle w:val="TableHeading"/>
            </w:pPr>
            <w:r>
              <w:t>Percent Passing by Weight</w:t>
            </w:r>
          </w:p>
        </w:tc>
      </w:tr>
      <w:tr w:rsidR="001D65C1" w14:paraId="5AF93B86" w14:textId="77777777" w:rsidTr="00CE24A9">
        <w:trPr>
          <w:tblHeader/>
        </w:trPr>
        <w:tc>
          <w:tcPr>
            <w:tcW w:w="1658" w:type="dxa"/>
            <w:vMerge/>
            <w:vAlign w:val="bottom"/>
          </w:tcPr>
          <w:p w14:paraId="370D4D54" w14:textId="77777777" w:rsidR="001D65C1" w:rsidRDefault="001D65C1" w:rsidP="00CE24A9">
            <w:pPr>
              <w:pStyle w:val="TableHeading"/>
            </w:pPr>
          </w:p>
        </w:tc>
        <w:tc>
          <w:tcPr>
            <w:tcW w:w="1803" w:type="dxa"/>
            <w:vAlign w:val="bottom"/>
          </w:tcPr>
          <w:p w14:paraId="145C5C78" w14:textId="77777777" w:rsidR="001D65C1" w:rsidRDefault="001D65C1" w:rsidP="00CE24A9">
            <w:pPr>
              <w:pStyle w:val="TableHeading"/>
            </w:pPr>
            <w:r>
              <w:t>ASTM No. 2 (modified)</w:t>
            </w:r>
          </w:p>
        </w:tc>
        <w:tc>
          <w:tcPr>
            <w:tcW w:w="1577" w:type="dxa"/>
            <w:vAlign w:val="bottom"/>
          </w:tcPr>
          <w:p w14:paraId="36542FFA" w14:textId="77777777" w:rsidR="001D65C1" w:rsidRDefault="001D65C1" w:rsidP="00CE24A9">
            <w:pPr>
              <w:pStyle w:val="TableHeading"/>
            </w:pPr>
            <w:r>
              <w:t>ASTM No. 3 (modified)</w:t>
            </w:r>
          </w:p>
        </w:tc>
        <w:tc>
          <w:tcPr>
            <w:tcW w:w="1577" w:type="dxa"/>
            <w:vAlign w:val="bottom"/>
          </w:tcPr>
          <w:p w14:paraId="56C14F21" w14:textId="77777777" w:rsidR="001D65C1" w:rsidRDefault="001D65C1" w:rsidP="00CE24A9">
            <w:pPr>
              <w:pStyle w:val="TableHeading"/>
            </w:pPr>
            <w:r>
              <w:t>ASTM No. 8 (modified)</w:t>
            </w:r>
          </w:p>
        </w:tc>
        <w:tc>
          <w:tcPr>
            <w:tcW w:w="1577" w:type="dxa"/>
            <w:vAlign w:val="bottom"/>
          </w:tcPr>
          <w:p w14:paraId="51057F80" w14:textId="77777777" w:rsidR="001D65C1" w:rsidRDefault="001D65C1" w:rsidP="00CE24A9">
            <w:pPr>
              <w:pStyle w:val="TableHeading"/>
            </w:pPr>
            <w:r>
              <w:t>ASTM No. 57 (modified)</w:t>
            </w:r>
          </w:p>
        </w:tc>
      </w:tr>
      <w:tr w:rsidR="001D65C1" w14:paraId="33141541" w14:textId="77777777" w:rsidTr="00CE24A9">
        <w:tc>
          <w:tcPr>
            <w:tcW w:w="1658" w:type="dxa"/>
            <w:vAlign w:val="center"/>
          </w:tcPr>
          <w:p w14:paraId="266D5E58" w14:textId="77777777" w:rsidR="001D65C1" w:rsidRDefault="001D65C1" w:rsidP="00CE24A9">
            <w:pPr>
              <w:pStyle w:val="TableText"/>
              <w:jc w:val="center"/>
            </w:pPr>
            <w:r>
              <w:t>3 inch</w:t>
            </w:r>
          </w:p>
        </w:tc>
        <w:tc>
          <w:tcPr>
            <w:tcW w:w="1803" w:type="dxa"/>
            <w:vAlign w:val="center"/>
          </w:tcPr>
          <w:p w14:paraId="4CC92791" w14:textId="77777777" w:rsidR="001D65C1" w:rsidRDefault="001D65C1" w:rsidP="00CE24A9">
            <w:pPr>
              <w:pStyle w:val="TableText"/>
              <w:jc w:val="center"/>
            </w:pPr>
            <w:r>
              <w:t>100</w:t>
            </w:r>
          </w:p>
        </w:tc>
        <w:tc>
          <w:tcPr>
            <w:tcW w:w="1577" w:type="dxa"/>
            <w:vAlign w:val="center"/>
          </w:tcPr>
          <w:p w14:paraId="5BFFB818" w14:textId="77777777" w:rsidR="001D65C1" w:rsidRDefault="001D65C1" w:rsidP="00CE24A9">
            <w:pPr>
              <w:pStyle w:val="TableText"/>
              <w:jc w:val="center"/>
            </w:pPr>
            <w:r>
              <w:t>–</w:t>
            </w:r>
          </w:p>
        </w:tc>
        <w:tc>
          <w:tcPr>
            <w:tcW w:w="1577" w:type="dxa"/>
            <w:vAlign w:val="center"/>
          </w:tcPr>
          <w:p w14:paraId="7C46696D" w14:textId="77777777" w:rsidR="001D65C1" w:rsidRDefault="001D65C1" w:rsidP="00CE24A9">
            <w:pPr>
              <w:pStyle w:val="TableText"/>
              <w:jc w:val="center"/>
            </w:pPr>
            <w:r>
              <w:t>–</w:t>
            </w:r>
          </w:p>
        </w:tc>
        <w:tc>
          <w:tcPr>
            <w:tcW w:w="1577" w:type="dxa"/>
            <w:vAlign w:val="center"/>
          </w:tcPr>
          <w:p w14:paraId="34476C57" w14:textId="77777777" w:rsidR="001D65C1" w:rsidRDefault="001D65C1" w:rsidP="00CE24A9">
            <w:pPr>
              <w:pStyle w:val="TableText"/>
              <w:jc w:val="center"/>
            </w:pPr>
            <w:r>
              <w:t>–</w:t>
            </w:r>
          </w:p>
        </w:tc>
      </w:tr>
      <w:tr w:rsidR="001D65C1" w14:paraId="4D8AA55F" w14:textId="77777777" w:rsidTr="00CE24A9">
        <w:tc>
          <w:tcPr>
            <w:tcW w:w="1658" w:type="dxa"/>
            <w:vAlign w:val="center"/>
          </w:tcPr>
          <w:p w14:paraId="24803BAD" w14:textId="77777777" w:rsidR="001D65C1" w:rsidRDefault="001D65C1" w:rsidP="00CE24A9">
            <w:pPr>
              <w:pStyle w:val="TableText"/>
              <w:jc w:val="center"/>
            </w:pPr>
            <w:r>
              <w:t>2 1/2 inch</w:t>
            </w:r>
          </w:p>
        </w:tc>
        <w:tc>
          <w:tcPr>
            <w:tcW w:w="1803" w:type="dxa"/>
            <w:vAlign w:val="center"/>
          </w:tcPr>
          <w:p w14:paraId="667E2640" w14:textId="77777777" w:rsidR="001D65C1" w:rsidRDefault="001D65C1" w:rsidP="00CE24A9">
            <w:pPr>
              <w:pStyle w:val="TableText"/>
              <w:jc w:val="center"/>
            </w:pPr>
            <w:r>
              <w:t>90 to 100</w:t>
            </w:r>
          </w:p>
        </w:tc>
        <w:tc>
          <w:tcPr>
            <w:tcW w:w="1577" w:type="dxa"/>
            <w:vAlign w:val="center"/>
          </w:tcPr>
          <w:p w14:paraId="108E4D41" w14:textId="77777777" w:rsidR="001D65C1" w:rsidRDefault="001D65C1" w:rsidP="00CE24A9">
            <w:pPr>
              <w:pStyle w:val="TableText"/>
              <w:jc w:val="center"/>
            </w:pPr>
            <w:r>
              <w:t>100</w:t>
            </w:r>
          </w:p>
        </w:tc>
        <w:tc>
          <w:tcPr>
            <w:tcW w:w="1577" w:type="dxa"/>
            <w:vAlign w:val="center"/>
          </w:tcPr>
          <w:p w14:paraId="3E366E96" w14:textId="77777777" w:rsidR="001D65C1" w:rsidRDefault="001D65C1" w:rsidP="00CE24A9">
            <w:pPr>
              <w:pStyle w:val="TableText"/>
              <w:jc w:val="center"/>
            </w:pPr>
            <w:r>
              <w:t>–</w:t>
            </w:r>
          </w:p>
        </w:tc>
        <w:tc>
          <w:tcPr>
            <w:tcW w:w="1577" w:type="dxa"/>
            <w:vAlign w:val="center"/>
          </w:tcPr>
          <w:p w14:paraId="493D3E44" w14:textId="77777777" w:rsidR="001D65C1" w:rsidRDefault="001D65C1" w:rsidP="00CE24A9">
            <w:pPr>
              <w:pStyle w:val="TableText"/>
              <w:jc w:val="center"/>
            </w:pPr>
            <w:r>
              <w:t>–</w:t>
            </w:r>
          </w:p>
        </w:tc>
      </w:tr>
      <w:tr w:rsidR="001D65C1" w14:paraId="588BC0C2" w14:textId="77777777" w:rsidTr="00CE24A9">
        <w:tc>
          <w:tcPr>
            <w:tcW w:w="1658" w:type="dxa"/>
            <w:vAlign w:val="center"/>
          </w:tcPr>
          <w:p w14:paraId="5AF71237" w14:textId="77777777" w:rsidR="001D65C1" w:rsidRDefault="001D65C1" w:rsidP="00CE24A9">
            <w:pPr>
              <w:pStyle w:val="TableText"/>
              <w:jc w:val="center"/>
            </w:pPr>
            <w:r>
              <w:t>2 inch</w:t>
            </w:r>
          </w:p>
        </w:tc>
        <w:tc>
          <w:tcPr>
            <w:tcW w:w="1803" w:type="dxa"/>
            <w:vAlign w:val="center"/>
          </w:tcPr>
          <w:p w14:paraId="5382A69D" w14:textId="77777777" w:rsidR="001D65C1" w:rsidRDefault="001D65C1" w:rsidP="00CE24A9">
            <w:pPr>
              <w:pStyle w:val="TableText"/>
              <w:jc w:val="center"/>
            </w:pPr>
            <w:r>
              <w:t>35 to 70</w:t>
            </w:r>
          </w:p>
        </w:tc>
        <w:tc>
          <w:tcPr>
            <w:tcW w:w="1577" w:type="dxa"/>
            <w:vAlign w:val="center"/>
          </w:tcPr>
          <w:p w14:paraId="563EBEAF" w14:textId="77777777" w:rsidR="001D65C1" w:rsidRDefault="001D65C1" w:rsidP="00CE24A9">
            <w:pPr>
              <w:pStyle w:val="TableText"/>
              <w:jc w:val="center"/>
            </w:pPr>
            <w:r>
              <w:t>90 to 100</w:t>
            </w:r>
          </w:p>
        </w:tc>
        <w:tc>
          <w:tcPr>
            <w:tcW w:w="1577" w:type="dxa"/>
            <w:vAlign w:val="center"/>
          </w:tcPr>
          <w:p w14:paraId="40261DC2" w14:textId="77777777" w:rsidR="001D65C1" w:rsidRDefault="001D65C1" w:rsidP="00CE24A9">
            <w:pPr>
              <w:pStyle w:val="TableText"/>
              <w:jc w:val="center"/>
            </w:pPr>
            <w:r>
              <w:t>–</w:t>
            </w:r>
          </w:p>
        </w:tc>
        <w:tc>
          <w:tcPr>
            <w:tcW w:w="1577" w:type="dxa"/>
            <w:vAlign w:val="center"/>
          </w:tcPr>
          <w:p w14:paraId="115081AF" w14:textId="77777777" w:rsidR="001D65C1" w:rsidRDefault="001D65C1" w:rsidP="00CE24A9">
            <w:pPr>
              <w:pStyle w:val="TableText"/>
              <w:jc w:val="center"/>
            </w:pPr>
            <w:r>
              <w:t>–</w:t>
            </w:r>
          </w:p>
        </w:tc>
      </w:tr>
      <w:tr w:rsidR="001D65C1" w14:paraId="1C584084" w14:textId="77777777" w:rsidTr="00CE24A9">
        <w:tc>
          <w:tcPr>
            <w:tcW w:w="1658" w:type="dxa"/>
            <w:vAlign w:val="center"/>
          </w:tcPr>
          <w:p w14:paraId="046EB66F" w14:textId="77777777" w:rsidR="001D65C1" w:rsidRDefault="001D65C1" w:rsidP="00CE24A9">
            <w:pPr>
              <w:pStyle w:val="TableText"/>
              <w:jc w:val="center"/>
            </w:pPr>
            <w:r>
              <w:t>1 1/2 inch</w:t>
            </w:r>
          </w:p>
        </w:tc>
        <w:tc>
          <w:tcPr>
            <w:tcW w:w="1803" w:type="dxa"/>
            <w:vAlign w:val="center"/>
          </w:tcPr>
          <w:p w14:paraId="26597FA4" w14:textId="77777777" w:rsidR="001D65C1" w:rsidRDefault="001D65C1" w:rsidP="00CE24A9">
            <w:pPr>
              <w:pStyle w:val="TableText"/>
              <w:jc w:val="center"/>
            </w:pPr>
            <w:r>
              <w:t>0 to 15</w:t>
            </w:r>
          </w:p>
        </w:tc>
        <w:tc>
          <w:tcPr>
            <w:tcW w:w="1577" w:type="dxa"/>
            <w:vAlign w:val="center"/>
          </w:tcPr>
          <w:p w14:paraId="52827CB6" w14:textId="77777777" w:rsidR="001D65C1" w:rsidRDefault="001D65C1" w:rsidP="00CE24A9">
            <w:pPr>
              <w:pStyle w:val="TableText"/>
              <w:jc w:val="center"/>
            </w:pPr>
            <w:r>
              <w:t>35 to 70</w:t>
            </w:r>
          </w:p>
        </w:tc>
        <w:tc>
          <w:tcPr>
            <w:tcW w:w="1577" w:type="dxa"/>
            <w:vAlign w:val="center"/>
          </w:tcPr>
          <w:p w14:paraId="72F72C8E" w14:textId="77777777" w:rsidR="001D65C1" w:rsidRDefault="001D65C1" w:rsidP="00CE24A9">
            <w:pPr>
              <w:pStyle w:val="TableText"/>
              <w:jc w:val="center"/>
            </w:pPr>
            <w:r>
              <w:t>–</w:t>
            </w:r>
          </w:p>
        </w:tc>
        <w:tc>
          <w:tcPr>
            <w:tcW w:w="1577" w:type="dxa"/>
            <w:vAlign w:val="center"/>
          </w:tcPr>
          <w:p w14:paraId="0F7526A5" w14:textId="77777777" w:rsidR="001D65C1" w:rsidRDefault="001D65C1" w:rsidP="00CE24A9">
            <w:pPr>
              <w:pStyle w:val="TableText"/>
              <w:jc w:val="center"/>
            </w:pPr>
            <w:r>
              <w:t>100</w:t>
            </w:r>
          </w:p>
        </w:tc>
      </w:tr>
      <w:tr w:rsidR="001D65C1" w14:paraId="4B2D835C" w14:textId="77777777" w:rsidTr="00CE24A9">
        <w:tc>
          <w:tcPr>
            <w:tcW w:w="1658" w:type="dxa"/>
            <w:vAlign w:val="center"/>
          </w:tcPr>
          <w:p w14:paraId="00AFC0C1" w14:textId="77777777" w:rsidR="001D65C1" w:rsidRDefault="001D65C1" w:rsidP="00CE24A9">
            <w:pPr>
              <w:pStyle w:val="TableText"/>
              <w:jc w:val="center"/>
            </w:pPr>
            <w:r>
              <w:t>1 inch</w:t>
            </w:r>
          </w:p>
        </w:tc>
        <w:tc>
          <w:tcPr>
            <w:tcW w:w="1803" w:type="dxa"/>
            <w:vAlign w:val="center"/>
          </w:tcPr>
          <w:p w14:paraId="71825373" w14:textId="77777777" w:rsidR="001D65C1" w:rsidRDefault="001D65C1" w:rsidP="00CE24A9">
            <w:pPr>
              <w:pStyle w:val="TableText"/>
              <w:jc w:val="center"/>
            </w:pPr>
            <w:r>
              <w:t>–</w:t>
            </w:r>
          </w:p>
        </w:tc>
        <w:tc>
          <w:tcPr>
            <w:tcW w:w="1577" w:type="dxa"/>
            <w:vAlign w:val="center"/>
          </w:tcPr>
          <w:p w14:paraId="2FC84A7B" w14:textId="77777777" w:rsidR="001D65C1" w:rsidRDefault="001D65C1" w:rsidP="00CE24A9">
            <w:pPr>
              <w:pStyle w:val="TableText"/>
              <w:jc w:val="center"/>
            </w:pPr>
            <w:r>
              <w:t>0 to 15</w:t>
            </w:r>
          </w:p>
        </w:tc>
        <w:tc>
          <w:tcPr>
            <w:tcW w:w="1577" w:type="dxa"/>
            <w:vAlign w:val="center"/>
          </w:tcPr>
          <w:p w14:paraId="31DE1EAF" w14:textId="77777777" w:rsidR="001D65C1" w:rsidRDefault="001D65C1" w:rsidP="00CE24A9">
            <w:pPr>
              <w:pStyle w:val="TableText"/>
              <w:jc w:val="center"/>
            </w:pPr>
            <w:r>
              <w:t>–</w:t>
            </w:r>
          </w:p>
        </w:tc>
        <w:tc>
          <w:tcPr>
            <w:tcW w:w="1577" w:type="dxa"/>
            <w:vAlign w:val="center"/>
          </w:tcPr>
          <w:p w14:paraId="314BFCC9" w14:textId="77777777" w:rsidR="001D65C1" w:rsidRDefault="001D65C1" w:rsidP="00CE24A9">
            <w:pPr>
              <w:pStyle w:val="TableText"/>
              <w:jc w:val="center"/>
            </w:pPr>
            <w:r>
              <w:t>95 to 100</w:t>
            </w:r>
          </w:p>
        </w:tc>
      </w:tr>
      <w:tr w:rsidR="001D65C1" w14:paraId="37E79E96" w14:textId="77777777" w:rsidTr="00CE24A9">
        <w:tc>
          <w:tcPr>
            <w:tcW w:w="1658" w:type="dxa"/>
            <w:vAlign w:val="center"/>
          </w:tcPr>
          <w:p w14:paraId="2C15402F" w14:textId="77777777" w:rsidR="001D65C1" w:rsidRDefault="001D65C1" w:rsidP="00CE24A9">
            <w:pPr>
              <w:pStyle w:val="TableText"/>
              <w:jc w:val="center"/>
            </w:pPr>
            <w:r>
              <w:t>3/4 inch</w:t>
            </w:r>
          </w:p>
        </w:tc>
        <w:tc>
          <w:tcPr>
            <w:tcW w:w="1803" w:type="dxa"/>
            <w:vAlign w:val="center"/>
          </w:tcPr>
          <w:p w14:paraId="464C03CB" w14:textId="77777777" w:rsidR="001D65C1" w:rsidRDefault="001D65C1" w:rsidP="00CE24A9">
            <w:pPr>
              <w:pStyle w:val="TableText"/>
              <w:jc w:val="center"/>
            </w:pPr>
            <w:r>
              <w:t>0 to 5</w:t>
            </w:r>
          </w:p>
        </w:tc>
        <w:tc>
          <w:tcPr>
            <w:tcW w:w="1577" w:type="dxa"/>
            <w:vAlign w:val="center"/>
          </w:tcPr>
          <w:p w14:paraId="6D3A6FD7" w14:textId="77777777" w:rsidR="001D65C1" w:rsidRDefault="001D65C1" w:rsidP="00CE24A9">
            <w:pPr>
              <w:pStyle w:val="TableText"/>
              <w:jc w:val="center"/>
            </w:pPr>
            <w:r>
              <w:t>–</w:t>
            </w:r>
          </w:p>
        </w:tc>
        <w:tc>
          <w:tcPr>
            <w:tcW w:w="1577" w:type="dxa"/>
            <w:vAlign w:val="center"/>
          </w:tcPr>
          <w:p w14:paraId="75E176ED" w14:textId="77777777" w:rsidR="001D65C1" w:rsidRDefault="001D65C1" w:rsidP="00CE24A9">
            <w:pPr>
              <w:pStyle w:val="TableText"/>
              <w:jc w:val="center"/>
            </w:pPr>
            <w:r>
              <w:t>–</w:t>
            </w:r>
          </w:p>
        </w:tc>
        <w:tc>
          <w:tcPr>
            <w:tcW w:w="1577" w:type="dxa"/>
            <w:vAlign w:val="center"/>
          </w:tcPr>
          <w:p w14:paraId="659C4A9F" w14:textId="77777777" w:rsidR="001D65C1" w:rsidRDefault="001D65C1" w:rsidP="00CE24A9">
            <w:pPr>
              <w:pStyle w:val="TableText"/>
              <w:jc w:val="center"/>
            </w:pPr>
            <w:r>
              <w:t>–</w:t>
            </w:r>
          </w:p>
        </w:tc>
      </w:tr>
      <w:tr w:rsidR="001D65C1" w14:paraId="41582D0C" w14:textId="77777777" w:rsidTr="00CE24A9">
        <w:tc>
          <w:tcPr>
            <w:tcW w:w="1658" w:type="dxa"/>
            <w:vAlign w:val="center"/>
          </w:tcPr>
          <w:p w14:paraId="4BBBBEC0" w14:textId="77777777" w:rsidR="001D65C1" w:rsidRDefault="001D65C1" w:rsidP="00CE24A9">
            <w:pPr>
              <w:pStyle w:val="TableText"/>
              <w:jc w:val="center"/>
            </w:pPr>
            <w:r>
              <w:t>1/2 inch</w:t>
            </w:r>
          </w:p>
        </w:tc>
        <w:tc>
          <w:tcPr>
            <w:tcW w:w="1803" w:type="dxa"/>
            <w:vAlign w:val="center"/>
          </w:tcPr>
          <w:p w14:paraId="7C91B8EB" w14:textId="77777777" w:rsidR="001D65C1" w:rsidRDefault="001D65C1" w:rsidP="00CE24A9">
            <w:pPr>
              <w:pStyle w:val="TableText"/>
              <w:jc w:val="center"/>
            </w:pPr>
            <w:r>
              <w:t>–</w:t>
            </w:r>
          </w:p>
        </w:tc>
        <w:tc>
          <w:tcPr>
            <w:tcW w:w="1577" w:type="dxa"/>
            <w:vAlign w:val="center"/>
          </w:tcPr>
          <w:p w14:paraId="7D700228" w14:textId="77777777" w:rsidR="001D65C1" w:rsidRDefault="001D65C1" w:rsidP="00CE24A9">
            <w:pPr>
              <w:pStyle w:val="TableText"/>
              <w:jc w:val="center"/>
            </w:pPr>
            <w:r>
              <w:t>0 to 5</w:t>
            </w:r>
          </w:p>
        </w:tc>
        <w:tc>
          <w:tcPr>
            <w:tcW w:w="1577" w:type="dxa"/>
            <w:vAlign w:val="center"/>
          </w:tcPr>
          <w:p w14:paraId="4D0FC339" w14:textId="77777777" w:rsidR="001D65C1" w:rsidRDefault="001D65C1" w:rsidP="00CE24A9">
            <w:pPr>
              <w:pStyle w:val="TableText"/>
              <w:jc w:val="center"/>
            </w:pPr>
            <w:r>
              <w:t>100</w:t>
            </w:r>
          </w:p>
        </w:tc>
        <w:tc>
          <w:tcPr>
            <w:tcW w:w="1577" w:type="dxa"/>
            <w:vAlign w:val="center"/>
          </w:tcPr>
          <w:p w14:paraId="70C143EF" w14:textId="77777777" w:rsidR="001D65C1" w:rsidRDefault="001D65C1" w:rsidP="00CE24A9">
            <w:pPr>
              <w:pStyle w:val="TableText"/>
              <w:jc w:val="center"/>
            </w:pPr>
            <w:r>
              <w:t>25 to 60</w:t>
            </w:r>
          </w:p>
        </w:tc>
      </w:tr>
      <w:tr w:rsidR="001D65C1" w14:paraId="5B6B117F" w14:textId="77777777" w:rsidTr="00CE24A9">
        <w:tc>
          <w:tcPr>
            <w:tcW w:w="1658" w:type="dxa"/>
            <w:vAlign w:val="center"/>
          </w:tcPr>
          <w:p w14:paraId="6EC4FDB3" w14:textId="77777777" w:rsidR="001D65C1" w:rsidRDefault="001D65C1" w:rsidP="00CE24A9">
            <w:pPr>
              <w:pStyle w:val="TableText"/>
              <w:jc w:val="center"/>
            </w:pPr>
            <w:r>
              <w:t>3/8 inch</w:t>
            </w:r>
          </w:p>
        </w:tc>
        <w:tc>
          <w:tcPr>
            <w:tcW w:w="1803" w:type="dxa"/>
            <w:vAlign w:val="center"/>
          </w:tcPr>
          <w:p w14:paraId="16459BCA" w14:textId="77777777" w:rsidR="001D65C1" w:rsidRDefault="001D65C1" w:rsidP="00CE24A9">
            <w:pPr>
              <w:pStyle w:val="TableText"/>
              <w:jc w:val="center"/>
            </w:pPr>
            <w:r>
              <w:t>–</w:t>
            </w:r>
          </w:p>
        </w:tc>
        <w:tc>
          <w:tcPr>
            <w:tcW w:w="1577" w:type="dxa"/>
            <w:vAlign w:val="center"/>
          </w:tcPr>
          <w:p w14:paraId="07764D42" w14:textId="77777777" w:rsidR="001D65C1" w:rsidRDefault="001D65C1" w:rsidP="00CE24A9">
            <w:pPr>
              <w:pStyle w:val="TableText"/>
              <w:jc w:val="center"/>
            </w:pPr>
            <w:r>
              <w:t>–</w:t>
            </w:r>
          </w:p>
        </w:tc>
        <w:tc>
          <w:tcPr>
            <w:tcW w:w="1577" w:type="dxa"/>
            <w:vAlign w:val="center"/>
          </w:tcPr>
          <w:p w14:paraId="607E8B48" w14:textId="77777777" w:rsidR="001D65C1" w:rsidRDefault="001D65C1" w:rsidP="00CE24A9">
            <w:pPr>
              <w:pStyle w:val="TableText"/>
              <w:jc w:val="center"/>
            </w:pPr>
            <w:r>
              <w:t>85 to 100</w:t>
            </w:r>
          </w:p>
        </w:tc>
        <w:tc>
          <w:tcPr>
            <w:tcW w:w="1577" w:type="dxa"/>
            <w:vAlign w:val="center"/>
          </w:tcPr>
          <w:p w14:paraId="71B22CBC" w14:textId="77777777" w:rsidR="001D65C1" w:rsidRDefault="001D65C1" w:rsidP="00CE24A9">
            <w:pPr>
              <w:pStyle w:val="TableText"/>
              <w:jc w:val="center"/>
            </w:pPr>
            <w:r>
              <w:t>–</w:t>
            </w:r>
          </w:p>
        </w:tc>
      </w:tr>
      <w:tr w:rsidR="001D65C1" w14:paraId="1ACF8D54" w14:textId="77777777" w:rsidTr="00CE24A9">
        <w:tc>
          <w:tcPr>
            <w:tcW w:w="1658" w:type="dxa"/>
            <w:vAlign w:val="center"/>
          </w:tcPr>
          <w:p w14:paraId="358B0FE0" w14:textId="77777777" w:rsidR="001D65C1" w:rsidRDefault="001D65C1" w:rsidP="00CE24A9">
            <w:pPr>
              <w:pStyle w:val="TableText"/>
              <w:jc w:val="center"/>
            </w:pPr>
            <w:r>
              <w:t>No. 4</w:t>
            </w:r>
          </w:p>
        </w:tc>
        <w:tc>
          <w:tcPr>
            <w:tcW w:w="1803" w:type="dxa"/>
            <w:vAlign w:val="center"/>
          </w:tcPr>
          <w:p w14:paraId="32ECDCF1" w14:textId="77777777" w:rsidR="001D65C1" w:rsidRDefault="001D65C1" w:rsidP="00CE24A9">
            <w:pPr>
              <w:pStyle w:val="TableText"/>
              <w:jc w:val="center"/>
            </w:pPr>
            <w:r>
              <w:t>–</w:t>
            </w:r>
          </w:p>
        </w:tc>
        <w:tc>
          <w:tcPr>
            <w:tcW w:w="1577" w:type="dxa"/>
            <w:vAlign w:val="center"/>
          </w:tcPr>
          <w:p w14:paraId="43E4D7DA" w14:textId="77777777" w:rsidR="001D65C1" w:rsidRDefault="001D65C1" w:rsidP="00CE24A9">
            <w:pPr>
              <w:pStyle w:val="TableText"/>
              <w:jc w:val="center"/>
            </w:pPr>
            <w:r>
              <w:t>–</w:t>
            </w:r>
          </w:p>
        </w:tc>
        <w:tc>
          <w:tcPr>
            <w:tcW w:w="1577" w:type="dxa"/>
            <w:vAlign w:val="center"/>
          </w:tcPr>
          <w:p w14:paraId="3D3998EB" w14:textId="77777777" w:rsidR="001D65C1" w:rsidRDefault="001D65C1" w:rsidP="00CE24A9">
            <w:pPr>
              <w:pStyle w:val="TableText"/>
              <w:jc w:val="center"/>
            </w:pPr>
            <w:r>
              <w:t>10 to 30</w:t>
            </w:r>
          </w:p>
        </w:tc>
        <w:tc>
          <w:tcPr>
            <w:tcW w:w="1577" w:type="dxa"/>
            <w:vAlign w:val="center"/>
          </w:tcPr>
          <w:p w14:paraId="65AC373A" w14:textId="77777777" w:rsidR="001D65C1" w:rsidRDefault="001D65C1" w:rsidP="00CE24A9">
            <w:pPr>
              <w:pStyle w:val="TableText"/>
              <w:jc w:val="center"/>
            </w:pPr>
            <w:r>
              <w:t>0 to 10</w:t>
            </w:r>
          </w:p>
        </w:tc>
      </w:tr>
      <w:tr w:rsidR="001D65C1" w14:paraId="3DF7BB4B" w14:textId="77777777" w:rsidTr="00CE24A9">
        <w:tc>
          <w:tcPr>
            <w:tcW w:w="1658" w:type="dxa"/>
            <w:vAlign w:val="center"/>
          </w:tcPr>
          <w:p w14:paraId="276DA084" w14:textId="77777777" w:rsidR="001D65C1" w:rsidRDefault="001D65C1" w:rsidP="00CE24A9">
            <w:pPr>
              <w:pStyle w:val="TableText"/>
              <w:jc w:val="center"/>
            </w:pPr>
            <w:r>
              <w:t>No. 8</w:t>
            </w:r>
          </w:p>
        </w:tc>
        <w:tc>
          <w:tcPr>
            <w:tcW w:w="1803" w:type="dxa"/>
            <w:vAlign w:val="center"/>
          </w:tcPr>
          <w:p w14:paraId="33B3A8FE" w14:textId="77777777" w:rsidR="001D65C1" w:rsidRDefault="001D65C1" w:rsidP="00CE24A9">
            <w:pPr>
              <w:pStyle w:val="TableText"/>
              <w:jc w:val="center"/>
            </w:pPr>
            <w:r>
              <w:t>–</w:t>
            </w:r>
          </w:p>
        </w:tc>
        <w:tc>
          <w:tcPr>
            <w:tcW w:w="1577" w:type="dxa"/>
            <w:vAlign w:val="center"/>
          </w:tcPr>
          <w:p w14:paraId="0E66E53A" w14:textId="77777777" w:rsidR="001D65C1" w:rsidRDefault="001D65C1" w:rsidP="00CE24A9">
            <w:pPr>
              <w:pStyle w:val="TableText"/>
              <w:jc w:val="center"/>
            </w:pPr>
            <w:r>
              <w:t>–</w:t>
            </w:r>
          </w:p>
        </w:tc>
        <w:tc>
          <w:tcPr>
            <w:tcW w:w="1577" w:type="dxa"/>
            <w:vAlign w:val="center"/>
          </w:tcPr>
          <w:p w14:paraId="1C74AA74" w14:textId="77777777" w:rsidR="001D65C1" w:rsidRDefault="001D65C1" w:rsidP="00CE24A9">
            <w:pPr>
              <w:pStyle w:val="TableText"/>
              <w:jc w:val="center"/>
            </w:pPr>
            <w:r>
              <w:t>0 to 10</w:t>
            </w:r>
          </w:p>
        </w:tc>
        <w:tc>
          <w:tcPr>
            <w:tcW w:w="1577" w:type="dxa"/>
            <w:vAlign w:val="center"/>
          </w:tcPr>
          <w:p w14:paraId="42BBE973" w14:textId="77777777" w:rsidR="001D65C1" w:rsidRDefault="001D65C1" w:rsidP="00CE24A9">
            <w:pPr>
              <w:pStyle w:val="TableText"/>
              <w:jc w:val="center"/>
            </w:pPr>
            <w:r>
              <w:t>0 to 5</w:t>
            </w:r>
          </w:p>
        </w:tc>
      </w:tr>
      <w:tr w:rsidR="001D65C1" w14:paraId="30756311" w14:textId="77777777" w:rsidTr="00CE24A9">
        <w:tc>
          <w:tcPr>
            <w:tcW w:w="1658" w:type="dxa"/>
            <w:vAlign w:val="center"/>
          </w:tcPr>
          <w:p w14:paraId="63D8EFE8" w14:textId="77777777" w:rsidR="001D65C1" w:rsidRDefault="001D65C1" w:rsidP="00CE24A9">
            <w:pPr>
              <w:pStyle w:val="TableText"/>
              <w:jc w:val="center"/>
            </w:pPr>
            <w:r>
              <w:t>No. 16</w:t>
            </w:r>
          </w:p>
        </w:tc>
        <w:tc>
          <w:tcPr>
            <w:tcW w:w="1803" w:type="dxa"/>
            <w:vAlign w:val="center"/>
          </w:tcPr>
          <w:p w14:paraId="147871F3" w14:textId="77777777" w:rsidR="001D65C1" w:rsidRDefault="001D65C1" w:rsidP="00CE24A9">
            <w:pPr>
              <w:pStyle w:val="TableText"/>
              <w:jc w:val="center"/>
            </w:pPr>
            <w:r>
              <w:t>–</w:t>
            </w:r>
          </w:p>
        </w:tc>
        <w:tc>
          <w:tcPr>
            <w:tcW w:w="1577" w:type="dxa"/>
            <w:vAlign w:val="center"/>
          </w:tcPr>
          <w:p w14:paraId="6BB82282" w14:textId="77777777" w:rsidR="001D65C1" w:rsidRDefault="001D65C1" w:rsidP="00CE24A9">
            <w:pPr>
              <w:pStyle w:val="TableText"/>
              <w:jc w:val="center"/>
            </w:pPr>
            <w:r>
              <w:t>–</w:t>
            </w:r>
          </w:p>
        </w:tc>
        <w:tc>
          <w:tcPr>
            <w:tcW w:w="1577" w:type="dxa"/>
            <w:vAlign w:val="center"/>
          </w:tcPr>
          <w:p w14:paraId="1210CE04" w14:textId="77777777" w:rsidR="001D65C1" w:rsidRDefault="001D65C1" w:rsidP="00CE24A9">
            <w:pPr>
              <w:pStyle w:val="TableText"/>
              <w:jc w:val="center"/>
            </w:pPr>
            <w:r>
              <w:t>0 to 5</w:t>
            </w:r>
          </w:p>
        </w:tc>
        <w:tc>
          <w:tcPr>
            <w:tcW w:w="1577" w:type="dxa"/>
            <w:vAlign w:val="center"/>
          </w:tcPr>
          <w:p w14:paraId="29BC1B70" w14:textId="77777777" w:rsidR="001D65C1" w:rsidRDefault="001D65C1" w:rsidP="00CE24A9">
            <w:pPr>
              <w:pStyle w:val="TableText"/>
              <w:jc w:val="center"/>
            </w:pPr>
            <w:r>
              <w:t>–</w:t>
            </w:r>
          </w:p>
        </w:tc>
      </w:tr>
      <w:tr w:rsidR="001D65C1" w14:paraId="180CB05D" w14:textId="77777777" w:rsidTr="00CE24A9">
        <w:tc>
          <w:tcPr>
            <w:tcW w:w="1658" w:type="dxa"/>
            <w:vAlign w:val="center"/>
          </w:tcPr>
          <w:p w14:paraId="226652AD" w14:textId="77777777" w:rsidR="001D65C1" w:rsidRDefault="001D65C1" w:rsidP="00CE24A9">
            <w:pPr>
              <w:pStyle w:val="TableText"/>
              <w:jc w:val="center"/>
            </w:pPr>
            <w:r>
              <w:t>No. 100</w:t>
            </w:r>
            <w:r w:rsidRPr="00BE4490">
              <w:rPr>
                <w:sz w:val="20"/>
                <w:vertAlign w:val="superscript"/>
              </w:rPr>
              <w:t>2</w:t>
            </w:r>
          </w:p>
        </w:tc>
        <w:tc>
          <w:tcPr>
            <w:tcW w:w="1803" w:type="dxa"/>
            <w:vAlign w:val="center"/>
          </w:tcPr>
          <w:p w14:paraId="4A7E85F9" w14:textId="77777777" w:rsidR="001D65C1" w:rsidRDefault="001D65C1" w:rsidP="00CE24A9">
            <w:pPr>
              <w:pStyle w:val="TableText"/>
              <w:jc w:val="center"/>
            </w:pPr>
            <w:r>
              <w:t>0 to 2</w:t>
            </w:r>
          </w:p>
        </w:tc>
        <w:tc>
          <w:tcPr>
            <w:tcW w:w="1577" w:type="dxa"/>
            <w:vAlign w:val="center"/>
          </w:tcPr>
          <w:p w14:paraId="72E6741A" w14:textId="77777777" w:rsidR="001D65C1" w:rsidRDefault="001D65C1" w:rsidP="00CE24A9">
            <w:pPr>
              <w:pStyle w:val="TableText"/>
              <w:jc w:val="center"/>
            </w:pPr>
            <w:r>
              <w:t>0 to 2</w:t>
            </w:r>
          </w:p>
        </w:tc>
        <w:tc>
          <w:tcPr>
            <w:tcW w:w="1577" w:type="dxa"/>
            <w:vAlign w:val="center"/>
          </w:tcPr>
          <w:p w14:paraId="0E00F0B3" w14:textId="77777777" w:rsidR="001D65C1" w:rsidRDefault="001D65C1" w:rsidP="00CE24A9">
            <w:pPr>
              <w:pStyle w:val="TableText"/>
              <w:jc w:val="center"/>
            </w:pPr>
            <w:r>
              <w:t>0 to 2</w:t>
            </w:r>
          </w:p>
        </w:tc>
        <w:tc>
          <w:tcPr>
            <w:tcW w:w="1577" w:type="dxa"/>
            <w:vAlign w:val="center"/>
          </w:tcPr>
          <w:p w14:paraId="551EC231" w14:textId="77777777" w:rsidR="001D65C1" w:rsidRDefault="001D65C1" w:rsidP="00CE24A9">
            <w:pPr>
              <w:pStyle w:val="TableText"/>
              <w:jc w:val="center"/>
            </w:pPr>
            <w:r>
              <w:t>0 to 2</w:t>
            </w:r>
          </w:p>
        </w:tc>
      </w:tr>
    </w:tbl>
    <w:p w14:paraId="39D69C1A" w14:textId="77777777" w:rsidR="001D65C1" w:rsidRDefault="001D65C1" w:rsidP="001D65C1">
      <w:pPr>
        <w:pStyle w:val="tablenote"/>
        <w:ind w:left="1584"/>
      </w:pPr>
      <w:r w:rsidRPr="00BE4490">
        <w:rPr>
          <w:sz w:val="20"/>
          <w:szCs w:val="18"/>
          <w:vertAlign w:val="superscript"/>
        </w:rPr>
        <w:t>1</w:t>
      </w:r>
      <w:r>
        <w:rPr>
          <w:szCs w:val="18"/>
        </w:rPr>
        <w:tab/>
      </w:r>
      <w:r w:rsidRPr="00AE4D09">
        <w:t>Sieve provided in nominal size square openings or United States Standard Sieve Series sizes.</w:t>
      </w:r>
    </w:p>
    <w:p w14:paraId="792F73C0" w14:textId="77777777" w:rsidR="001D65C1" w:rsidRPr="00AE4D09" w:rsidRDefault="001D65C1" w:rsidP="001D65C1">
      <w:pPr>
        <w:pStyle w:val="tablenote"/>
        <w:spacing w:after="240"/>
        <w:ind w:left="1584"/>
        <w:rPr>
          <w:szCs w:val="18"/>
        </w:rPr>
      </w:pPr>
      <w:r w:rsidRPr="00BE4490">
        <w:rPr>
          <w:sz w:val="20"/>
          <w:szCs w:val="18"/>
          <w:vertAlign w:val="superscript"/>
        </w:rPr>
        <w:t>2</w:t>
      </w:r>
      <w:r>
        <w:rPr>
          <w:szCs w:val="18"/>
        </w:rPr>
        <w:tab/>
      </w:r>
      <w:r w:rsidRPr="00D7519A">
        <w:rPr>
          <w:szCs w:val="18"/>
        </w:rPr>
        <w:t xml:space="preserve">Gradation modified from ASTM for portion passing the No. </w:t>
      </w:r>
      <w:r>
        <w:rPr>
          <w:szCs w:val="18"/>
        </w:rPr>
        <w:t>1</w:t>
      </w:r>
      <w:r w:rsidRPr="00D7519A">
        <w:rPr>
          <w:szCs w:val="18"/>
        </w:rPr>
        <w:t>00 sieve</w:t>
      </w:r>
      <w:r>
        <w:rPr>
          <w:szCs w:val="18"/>
        </w:rPr>
        <w:t>.</w:t>
      </w:r>
    </w:p>
    <w:p w14:paraId="23D06BEA" w14:textId="77777777" w:rsidR="001D65C1" w:rsidRDefault="001D65C1" w:rsidP="001D65C1">
      <w:pPr>
        <w:pStyle w:val="SPEC3"/>
        <w:numPr>
          <w:ilvl w:val="3"/>
          <w:numId w:val="3"/>
        </w:numPr>
      </w:pPr>
      <w:r w:rsidRPr="00BE4490">
        <w:rPr>
          <w:rStyle w:val="EmphasisUnderline"/>
        </w:rPr>
        <w:t>L.A. Abrasion</w:t>
      </w:r>
      <w:r>
        <w:t>: 30 percent (maximum) tested in accordance with ASTM </w:t>
      </w:r>
      <w:r w:rsidRPr="0039162A">
        <w:t>C</w:t>
      </w:r>
      <w:r>
        <w:t> </w:t>
      </w:r>
      <w:r w:rsidRPr="0039162A">
        <w:t>131.</w:t>
      </w:r>
    </w:p>
    <w:p w14:paraId="0DC8A2D0" w14:textId="77777777" w:rsidR="001D65C1" w:rsidRPr="003D3C21" w:rsidRDefault="001D65C1" w:rsidP="001D65C1">
      <w:pPr>
        <w:pStyle w:val="SPEC3"/>
        <w:numPr>
          <w:ilvl w:val="3"/>
          <w:numId w:val="3"/>
        </w:numPr>
      </w:pPr>
      <w:r w:rsidRPr="00BE4490">
        <w:rPr>
          <w:rStyle w:val="EmphasisUnderline"/>
        </w:rPr>
        <w:t>Cleanness Value</w:t>
      </w:r>
      <w:r w:rsidRPr="00D9561E">
        <w:t>: 75 (minimum) tested in accordance with California Test</w:t>
      </w:r>
      <w:r>
        <w:t> </w:t>
      </w:r>
      <w:r w:rsidRPr="00D9561E">
        <w:t>227</w:t>
      </w:r>
      <w:r>
        <w:t xml:space="preserve"> at least once per 500 cubic yards of base material</w:t>
      </w:r>
      <w:r w:rsidRPr="00D9561E">
        <w:t>.</w:t>
      </w:r>
    </w:p>
    <w:p w14:paraId="651ABEE1" w14:textId="77777777" w:rsidR="001D65C1" w:rsidRDefault="001D65C1" w:rsidP="001D65C1">
      <w:pPr>
        <w:pStyle w:val="SPEC3"/>
        <w:numPr>
          <w:ilvl w:val="3"/>
          <w:numId w:val="3"/>
        </w:numPr>
      </w:pPr>
      <w:r w:rsidRPr="00BE4490">
        <w:rPr>
          <w:rStyle w:val="EmphasisUnderline"/>
        </w:rPr>
        <w:t>Crushed Particles</w:t>
      </w:r>
      <w:r w:rsidRPr="00AE4D09">
        <w:t>:</w:t>
      </w:r>
      <w:r>
        <w:t xml:space="preserve"> 90 percent (minimum) with two (2) or more fractured faces tested in accordance with California Test 205.</w:t>
      </w:r>
    </w:p>
    <w:p w14:paraId="4E19BC37" w14:textId="77777777" w:rsidR="001D65C1" w:rsidRDefault="001D65C1" w:rsidP="001D65C1">
      <w:pPr>
        <w:pStyle w:val="SPEC3"/>
        <w:numPr>
          <w:ilvl w:val="3"/>
          <w:numId w:val="3"/>
        </w:numPr>
      </w:pPr>
      <w:r>
        <w:t>The combined portion of Material retained on the U.S. No. 4 sieve shall not contain more than 0.1 percent wood waste by weight. The portion of Material passing a U.S. No. 10 sieve shall not have wood waste that results in more than 250 parts per million of organic matter by calorimetric tests when tested. The color shall be measured after the sample has been in the test solution for 1 hour.</w:t>
      </w:r>
    </w:p>
    <w:p w14:paraId="4C567B32" w14:textId="1560C2AF" w:rsidR="001D65C1" w:rsidRDefault="000013F7" w:rsidP="001D65C1">
      <w:pPr>
        <w:pStyle w:val="SPEC1"/>
        <w:numPr>
          <w:ilvl w:val="1"/>
          <w:numId w:val="3"/>
        </w:numPr>
      </w:pPr>
      <w:r w:rsidRPr="00413C4A">
        <w:rPr>
          <w:caps w:val="0"/>
        </w:rPr>
        <w:t>G</w:t>
      </w:r>
      <w:r>
        <w:rPr>
          <w:caps w:val="0"/>
        </w:rPr>
        <w:t>EOTEXTILE FOR SOIL SEPARATION</w:t>
      </w:r>
    </w:p>
    <w:p w14:paraId="2CC1189D" w14:textId="77777777" w:rsidR="001D65C1" w:rsidRPr="00BE4490" w:rsidRDefault="001D65C1" w:rsidP="001D65C1">
      <w:pPr>
        <w:pStyle w:val="SPECIndent"/>
        <w:rPr>
          <w:color w:val="00B050"/>
        </w:rPr>
      </w:pPr>
      <w:r w:rsidRPr="00BE4490">
        <w:rPr>
          <w:color w:val="00B050"/>
        </w:rPr>
        <w:t>DESIGNER NOTE: Geotextile is not typically required under permeable pavement applications unless recommended by a geotechnical engineer. Geotextile can be placed vertically for material separation between side walls of reservoir course and native soil.</w:t>
      </w:r>
    </w:p>
    <w:p w14:paraId="06DA04A6" w14:textId="77777777" w:rsidR="001D65C1" w:rsidRDefault="001D65C1" w:rsidP="001D65C1">
      <w:pPr>
        <w:pStyle w:val="SPEC2"/>
        <w:numPr>
          <w:ilvl w:val="2"/>
          <w:numId w:val="3"/>
        </w:numPr>
      </w:pPr>
      <w:r>
        <w:t>G</w:t>
      </w:r>
      <w:r w:rsidRPr="00413C4A">
        <w:t xml:space="preserve">eotextile </w:t>
      </w:r>
      <w:r>
        <w:t xml:space="preserve">shall be woven, </w:t>
      </w:r>
      <w:r w:rsidRPr="00413C4A">
        <w:t xml:space="preserve">consisting only of long chain polymeric fibers or yarns formed into a stable network such that the fibers or yarns retain their position relative to each other during handling, placement, and design service life. At </w:t>
      </w:r>
      <w:r>
        <w:t>least 95 percent by weight of the material shall be polyolefins or polyesters. The material shall be free from defects or tears. The geotextile shall also be free of any treatment or coating which might adversely alter its hydraulic or physical properties after installation. The geotextile shall conform to the properties specified herein:</w:t>
      </w:r>
    </w:p>
    <w:tbl>
      <w:tblPr>
        <w:tblStyle w:val="TableGrid"/>
        <w:tblW w:w="8055" w:type="dxa"/>
        <w:tblInd w:w="1300" w:type="dxa"/>
        <w:tblLook w:val="04A0" w:firstRow="1" w:lastRow="0" w:firstColumn="1" w:lastColumn="0" w:noHBand="0" w:noVBand="1"/>
      </w:tblPr>
      <w:tblGrid>
        <w:gridCol w:w="4905"/>
        <w:gridCol w:w="1440"/>
        <w:gridCol w:w="1710"/>
      </w:tblGrid>
      <w:tr w:rsidR="001D65C1" w:rsidRPr="009A599D" w14:paraId="06C477D2" w14:textId="77777777" w:rsidTr="00CE24A9">
        <w:tc>
          <w:tcPr>
            <w:tcW w:w="4905" w:type="dxa"/>
            <w:vAlign w:val="bottom"/>
          </w:tcPr>
          <w:p w14:paraId="74F0FDF6" w14:textId="77777777" w:rsidR="001D65C1" w:rsidRPr="009A599D" w:rsidRDefault="001D65C1" w:rsidP="00CE24A9">
            <w:pPr>
              <w:pStyle w:val="TableHeading"/>
              <w:keepNext/>
              <w:rPr>
                <w:szCs w:val="18"/>
              </w:rPr>
            </w:pPr>
            <w:r w:rsidRPr="009A599D">
              <w:rPr>
                <w:szCs w:val="18"/>
              </w:rPr>
              <w:lastRenderedPageBreak/>
              <w:t>Geotextile Property</w:t>
            </w:r>
          </w:p>
        </w:tc>
        <w:tc>
          <w:tcPr>
            <w:tcW w:w="1440" w:type="dxa"/>
            <w:vAlign w:val="bottom"/>
          </w:tcPr>
          <w:p w14:paraId="5C4BC645" w14:textId="77777777" w:rsidR="001D65C1" w:rsidRPr="009A599D" w:rsidRDefault="001D65C1" w:rsidP="00CE24A9">
            <w:pPr>
              <w:pStyle w:val="TableHeading"/>
              <w:keepNext/>
              <w:rPr>
                <w:szCs w:val="18"/>
              </w:rPr>
            </w:pPr>
            <w:r w:rsidRPr="009A599D">
              <w:rPr>
                <w:szCs w:val="18"/>
              </w:rPr>
              <w:t>Test Method</w:t>
            </w:r>
          </w:p>
        </w:tc>
        <w:tc>
          <w:tcPr>
            <w:tcW w:w="1710" w:type="dxa"/>
            <w:vAlign w:val="bottom"/>
          </w:tcPr>
          <w:p w14:paraId="6202214D" w14:textId="77777777" w:rsidR="001D65C1" w:rsidRPr="009A599D" w:rsidRDefault="001D65C1" w:rsidP="00CE24A9">
            <w:pPr>
              <w:pStyle w:val="TableHeading"/>
              <w:keepNext/>
              <w:rPr>
                <w:szCs w:val="18"/>
              </w:rPr>
            </w:pPr>
            <w:r w:rsidRPr="009A599D">
              <w:rPr>
                <w:szCs w:val="18"/>
              </w:rPr>
              <w:t>Requirement</w:t>
            </w:r>
          </w:p>
        </w:tc>
      </w:tr>
      <w:tr w:rsidR="001D65C1" w:rsidRPr="009A599D" w14:paraId="1E7D4ECB" w14:textId="77777777" w:rsidTr="00CE24A9">
        <w:tc>
          <w:tcPr>
            <w:tcW w:w="4905" w:type="dxa"/>
            <w:vAlign w:val="center"/>
          </w:tcPr>
          <w:p w14:paraId="3A355588" w14:textId="77777777" w:rsidR="001D65C1" w:rsidRPr="00BE4490" w:rsidRDefault="001D65C1" w:rsidP="00CE24A9">
            <w:pPr>
              <w:pStyle w:val="TableText"/>
            </w:pPr>
            <w:r w:rsidRPr="00BE4490">
              <w:t>Grab Tensile Strength, minimum in weakest direction</w:t>
            </w:r>
          </w:p>
        </w:tc>
        <w:tc>
          <w:tcPr>
            <w:tcW w:w="1440" w:type="dxa"/>
            <w:vAlign w:val="center"/>
          </w:tcPr>
          <w:p w14:paraId="2B1F1C9F" w14:textId="77777777" w:rsidR="001D65C1" w:rsidRPr="009A599D" w:rsidRDefault="001D65C1" w:rsidP="00CE24A9">
            <w:pPr>
              <w:pStyle w:val="TableText"/>
              <w:jc w:val="center"/>
              <w:rPr>
                <w:szCs w:val="18"/>
              </w:rPr>
            </w:pPr>
            <w:r>
              <w:rPr>
                <w:szCs w:val="18"/>
              </w:rPr>
              <w:t>ASTM </w:t>
            </w:r>
            <w:r w:rsidRPr="009A599D">
              <w:rPr>
                <w:szCs w:val="18"/>
              </w:rPr>
              <w:t>D4632</w:t>
            </w:r>
          </w:p>
        </w:tc>
        <w:tc>
          <w:tcPr>
            <w:tcW w:w="1710" w:type="dxa"/>
            <w:vAlign w:val="center"/>
          </w:tcPr>
          <w:p w14:paraId="6399CDE9" w14:textId="77777777" w:rsidR="001D65C1" w:rsidRPr="009A599D" w:rsidRDefault="001D65C1" w:rsidP="00CE24A9">
            <w:pPr>
              <w:pStyle w:val="TableText"/>
              <w:jc w:val="center"/>
              <w:rPr>
                <w:szCs w:val="18"/>
              </w:rPr>
            </w:pPr>
            <w:r>
              <w:rPr>
                <w:szCs w:val="18"/>
              </w:rPr>
              <w:t xml:space="preserve">200 </w:t>
            </w:r>
            <w:proofErr w:type="spellStart"/>
            <w:r>
              <w:rPr>
                <w:szCs w:val="18"/>
              </w:rPr>
              <w:t>lbs</w:t>
            </w:r>
            <w:proofErr w:type="spellEnd"/>
            <w:r>
              <w:rPr>
                <w:szCs w:val="18"/>
              </w:rPr>
              <w:t>/in</w:t>
            </w:r>
          </w:p>
        </w:tc>
      </w:tr>
      <w:tr w:rsidR="001D65C1" w:rsidRPr="009A599D" w14:paraId="70F2BB2B" w14:textId="77777777" w:rsidTr="00CE24A9">
        <w:tc>
          <w:tcPr>
            <w:tcW w:w="4905" w:type="dxa"/>
            <w:vAlign w:val="center"/>
          </w:tcPr>
          <w:p w14:paraId="484491D8" w14:textId="77777777" w:rsidR="001D65C1" w:rsidRPr="009A599D" w:rsidRDefault="001D65C1" w:rsidP="00CE24A9">
            <w:pPr>
              <w:pStyle w:val="TableText"/>
              <w:jc w:val="center"/>
              <w:rPr>
                <w:szCs w:val="18"/>
              </w:rPr>
            </w:pPr>
            <w:r w:rsidRPr="009A599D">
              <w:rPr>
                <w:szCs w:val="18"/>
              </w:rPr>
              <w:t>Apparent Opening Size (AOS)</w:t>
            </w:r>
          </w:p>
        </w:tc>
        <w:tc>
          <w:tcPr>
            <w:tcW w:w="1440" w:type="dxa"/>
            <w:vAlign w:val="center"/>
          </w:tcPr>
          <w:p w14:paraId="099BEBFB" w14:textId="77777777" w:rsidR="001D65C1" w:rsidRPr="009A599D" w:rsidRDefault="001D65C1" w:rsidP="00CE24A9">
            <w:pPr>
              <w:pStyle w:val="TableText"/>
              <w:jc w:val="center"/>
              <w:rPr>
                <w:szCs w:val="18"/>
              </w:rPr>
            </w:pPr>
            <w:r w:rsidRPr="009A599D">
              <w:rPr>
                <w:szCs w:val="18"/>
              </w:rPr>
              <w:t>ASTM</w:t>
            </w:r>
            <w:r>
              <w:rPr>
                <w:szCs w:val="18"/>
              </w:rPr>
              <w:t> </w:t>
            </w:r>
            <w:r w:rsidRPr="009A599D">
              <w:rPr>
                <w:szCs w:val="18"/>
              </w:rPr>
              <w:t>D4751</w:t>
            </w:r>
          </w:p>
        </w:tc>
        <w:tc>
          <w:tcPr>
            <w:tcW w:w="1710" w:type="dxa"/>
            <w:vAlign w:val="center"/>
          </w:tcPr>
          <w:p w14:paraId="3DB8ADDD" w14:textId="77777777" w:rsidR="001D65C1" w:rsidRPr="009A599D" w:rsidRDefault="001D65C1" w:rsidP="00CE24A9">
            <w:pPr>
              <w:pStyle w:val="TableText"/>
              <w:jc w:val="center"/>
              <w:rPr>
                <w:szCs w:val="18"/>
              </w:rPr>
            </w:pPr>
            <w:r>
              <w:rPr>
                <w:szCs w:val="18"/>
              </w:rPr>
              <w:t>40 to 50</w:t>
            </w:r>
          </w:p>
        </w:tc>
      </w:tr>
      <w:tr w:rsidR="001D65C1" w:rsidRPr="009A599D" w14:paraId="14E4D49A" w14:textId="77777777" w:rsidTr="00CE24A9">
        <w:tc>
          <w:tcPr>
            <w:tcW w:w="4905" w:type="dxa"/>
            <w:vAlign w:val="center"/>
          </w:tcPr>
          <w:p w14:paraId="2B035031" w14:textId="77777777" w:rsidR="001D65C1" w:rsidRPr="009A599D" w:rsidRDefault="001D65C1" w:rsidP="00CE24A9">
            <w:pPr>
              <w:pStyle w:val="TableText"/>
              <w:jc w:val="center"/>
              <w:rPr>
                <w:szCs w:val="18"/>
              </w:rPr>
            </w:pPr>
            <w:r w:rsidRPr="009A599D">
              <w:rPr>
                <w:szCs w:val="18"/>
              </w:rPr>
              <w:t>Ultraviolet (UV) Radiation Stability</w:t>
            </w:r>
            <w:r>
              <w:rPr>
                <w:szCs w:val="18"/>
              </w:rPr>
              <w:t>, minimum strength retained after 500 hours in weatherometer</w:t>
            </w:r>
          </w:p>
        </w:tc>
        <w:tc>
          <w:tcPr>
            <w:tcW w:w="1440" w:type="dxa"/>
            <w:vAlign w:val="center"/>
          </w:tcPr>
          <w:p w14:paraId="39282D1C" w14:textId="77777777" w:rsidR="001D65C1" w:rsidRPr="009A599D" w:rsidRDefault="001D65C1" w:rsidP="00CE24A9">
            <w:pPr>
              <w:pStyle w:val="TableText"/>
              <w:jc w:val="center"/>
              <w:rPr>
                <w:szCs w:val="18"/>
              </w:rPr>
            </w:pPr>
            <w:r>
              <w:rPr>
                <w:szCs w:val="18"/>
              </w:rPr>
              <w:t>ASTM </w:t>
            </w:r>
            <w:r w:rsidRPr="009A599D">
              <w:rPr>
                <w:szCs w:val="18"/>
              </w:rPr>
              <w:t>D4355</w:t>
            </w:r>
          </w:p>
        </w:tc>
        <w:tc>
          <w:tcPr>
            <w:tcW w:w="1710" w:type="dxa"/>
            <w:vAlign w:val="center"/>
          </w:tcPr>
          <w:p w14:paraId="555765AF" w14:textId="77777777" w:rsidR="001D65C1" w:rsidRPr="009A599D" w:rsidRDefault="001D65C1" w:rsidP="00CE24A9">
            <w:pPr>
              <w:pStyle w:val="TableText"/>
              <w:jc w:val="center"/>
              <w:rPr>
                <w:szCs w:val="18"/>
              </w:rPr>
            </w:pPr>
            <w:r>
              <w:rPr>
                <w:szCs w:val="18"/>
              </w:rPr>
              <w:t>50%</w:t>
            </w:r>
          </w:p>
        </w:tc>
      </w:tr>
      <w:tr w:rsidR="001D65C1" w:rsidRPr="009A599D" w14:paraId="041506F2" w14:textId="77777777" w:rsidTr="00CE24A9">
        <w:tc>
          <w:tcPr>
            <w:tcW w:w="4905" w:type="dxa"/>
            <w:vAlign w:val="center"/>
          </w:tcPr>
          <w:p w14:paraId="29BCCC3F" w14:textId="77777777" w:rsidR="001D65C1" w:rsidRPr="009A599D" w:rsidRDefault="001D65C1" w:rsidP="00CE24A9">
            <w:pPr>
              <w:pStyle w:val="TableText"/>
              <w:jc w:val="center"/>
              <w:rPr>
                <w:szCs w:val="18"/>
              </w:rPr>
            </w:pPr>
            <w:r w:rsidRPr="009A599D">
              <w:rPr>
                <w:szCs w:val="18"/>
              </w:rPr>
              <w:t>Flow Rate, minimum</w:t>
            </w:r>
          </w:p>
        </w:tc>
        <w:tc>
          <w:tcPr>
            <w:tcW w:w="1440" w:type="dxa"/>
            <w:vAlign w:val="center"/>
          </w:tcPr>
          <w:p w14:paraId="4AF45E7C" w14:textId="77777777" w:rsidR="001D65C1" w:rsidRPr="009A599D" w:rsidRDefault="001D65C1" w:rsidP="00CE24A9">
            <w:pPr>
              <w:pStyle w:val="TableText"/>
              <w:jc w:val="center"/>
              <w:rPr>
                <w:szCs w:val="18"/>
              </w:rPr>
            </w:pPr>
            <w:r>
              <w:rPr>
                <w:szCs w:val="18"/>
              </w:rPr>
              <w:t>ASTM D</w:t>
            </w:r>
            <w:r w:rsidRPr="009A599D">
              <w:rPr>
                <w:szCs w:val="18"/>
              </w:rPr>
              <w:t>4491</w:t>
            </w:r>
          </w:p>
        </w:tc>
        <w:tc>
          <w:tcPr>
            <w:tcW w:w="1710" w:type="dxa"/>
            <w:vAlign w:val="center"/>
          </w:tcPr>
          <w:p w14:paraId="1BD98D78" w14:textId="77777777" w:rsidR="001D65C1" w:rsidRPr="009A599D" w:rsidRDefault="001D65C1" w:rsidP="00CE24A9">
            <w:pPr>
              <w:pStyle w:val="TableText"/>
              <w:jc w:val="center"/>
              <w:rPr>
                <w:szCs w:val="18"/>
              </w:rPr>
            </w:pPr>
            <w:r>
              <w:rPr>
                <w:szCs w:val="18"/>
              </w:rPr>
              <w:t>140 gal/min/ft</w:t>
            </w:r>
            <w:r w:rsidRPr="00BE4490">
              <w:rPr>
                <w:sz w:val="20"/>
                <w:szCs w:val="18"/>
                <w:vertAlign w:val="superscript"/>
              </w:rPr>
              <w:t>2</w:t>
            </w:r>
          </w:p>
        </w:tc>
      </w:tr>
    </w:tbl>
    <w:p w14:paraId="35B816EE" w14:textId="77777777" w:rsidR="001D65C1" w:rsidRDefault="001D65C1" w:rsidP="001D65C1">
      <w:pPr>
        <w:pStyle w:val="SPECTEXT"/>
        <w:spacing w:before="240"/>
        <w:rPr>
          <w:color w:val="00B050"/>
        </w:rPr>
      </w:pPr>
      <w:r w:rsidRPr="00BE4490">
        <w:rPr>
          <w:color w:val="00B050"/>
        </w:rPr>
        <w:t>DESIGNER NOTE: The designer should consider including specifications for signage and pavement markings in this section.</w:t>
      </w:r>
    </w:p>
    <w:p w14:paraId="725477F5" w14:textId="77777777" w:rsidR="001D65C1" w:rsidRDefault="001D65C1" w:rsidP="001D65C1">
      <w:pPr>
        <w:pStyle w:val="PART"/>
        <w:numPr>
          <w:ilvl w:val="0"/>
          <w:numId w:val="3"/>
        </w:numPr>
      </w:pPr>
      <w:r w:rsidRPr="0033721E">
        <w:t>EXECUTION</w:t>
      </w:r>
    </w:p>
    <w:p w14:paraId="39EF1C56" w14:textId="77777777" w:rsidR="00C03C72" w:rsidRPr="0095295C" w:rsidRDefault="00C03C72" w:rsidP="00C03C72">
      <w:pPr>
        <w:pStyle w:val="SPEC1"/>
        <w:numPr>
          <w:ilvl w:val="1"/>
          <w:numId w:val="3"/>
        </w:numPr>
      </w:pPr>
      <w:r w:rsidRPr="0095295C">
        <w:rPr>
          <w:caps w:val="0"/>
        </w:rPr>
        <w:t xml:space="preserve">GENERAL </w:t>
      </w:r>
    </w:p>
    <w:p w14:paraId="251EEAA8" w14:textId="77777777" w:rsidR="00C03C72" w:rsidRPr="0095295C" w:rsidRDefault="00C03C72" w:rsidP="00C03C72">
      <w:pPr>
        <w:pStyle w:val="SPEC2"/>
        <w:numPr>
          <w:ilvl w:val="2"/>
          <w:numId w:val="3"/>
        </w:numPr>
      </w:pPr>
      <w:bookmarkStart w:id="1" w:name="_Hlk178343431"/>
      <w:r w:rsidRPr="0095295C">
        <w:t>Prevent runoff from adjacent pervious and impervious surfaces from entering the permeable pavement area (e.g., stabilize adjacent areas, flow diversion) until authorization is given by the Engineer/Landscape Architect. For capital projects, redevelopment projects, and any project where the permeable pavement is in the public ROW (i.e., with an SFPW encroachment permit), refer to SFPUC Specification Section 01 57 29 Temporary Protection of Green Infrastructure Facilities.</w:t>
      </w:r>
    </w:p>
    <w:bookmarkEnd w:id="1"/>
    <w:p w14:paraId="2E1CF996" w14:textId="77777777" w:rsidR="00C03C72" w:rsidRPr="0095295C" w:rsidRDefault="00C03C72" w:rsidP="00C03C72">
      <w:pPr>
        <w:pStyle w:val="SPEC2"/>
        <w:numPr>
          <w:ilvl w:val="2"/>
          <w:numId w:val="3"/>
        </w:numPr>
      </w:pPr>
      <w:r w:rsidRPr="0095295C">
        <w:t xml:space="preserve">Exclude equipment from permeable pavement areas that have been excavated to subgrade. No equipment shall operate on subgrade within the facility once excavation has begun, including during and after excavation. Equipment may operate on </w:t>
      </w:r>
      <w:r>
        <w:t xml:space="preserve">the </w:t>
      </w:r>
      <w:r w:rsidRPr="0095295C">
        <w:t>placed aggregate surface.</w:t>
      </w:r>
    </w:p>
    <w:p w14:paraId="289FBF11" w14:textId="77777777" w:rsidR="00C03C72" w:rsidRPr="0095295C" w:rsidRDefault="00C03C72" w:rsidP="00C03C72">
      <w:pPr>
        <w:pStyle w:val="SPEC2"/>
        <w:numPr>
          <w:ilvl w:val="2"/>
          <w:numId w:val="3"/>
        </w:numPr>
      </w:pPr>
      <w:r w:rsidRPr="0095295C">
        <w:t xml:space="preserve">Prevent foreign materials and substances, such as silt laden run-off, construction debris, etc. from entering or being stored in the facility at any point during construction. </w:t>
      </w:r>
    </w:p>
    <w:p w14:paraId="1371C545" w14:textId="77777777" w:rsidR="00C03C72" w:rsidRPr="003B7DD1" w:rsidRDefault="00C03C72" w:rsidP="00C03C72">
      <w:pPr>
        <w:pStyle w:val="SPEC2"/>
        <w:numPr>
          <w:ilvl w:val="2"/>
          <w:numId w:val="3"/>
        </w:numPr>
      </w:pPr>
      <w:r w:rsidRPr="0095295C">
        <w:t>Do not dump materials or substances except the aggregate within the permeable pavement area. Any</w:t>
      </w:r>
      <w:r>
        <w:t xml:space="preserve"> foreign materials or substances shall be removed prior to aggregate placement.</w:t>
      </w:r>
    </w:p>
    <w:p w14:paraId="2D8AE77E" w14:textId="77777777" w:rsidR="001D65C1" w:rsidRPr="0033721E" w:rsidRDefault="001D65C1" w:rsidP="001D65C1">
      <w:pPr>
        <w:pStyle w:val="SPEC1"/>
        <w:numPr>
          <w:ilvl w:val="1"/>
          <w:numId w:val="3"/>
        </w:numPr>
      </w:pPr>
      <w:r w:rsidRPr="0033721E">
        <w:t>SUBGRADE PREPARATION AND PROTECTION</w:t>
      </w:r>
    </w:p>
    <w:p w14:paraId="44DF9F6B" w14:textId="77777777" w:rsidR="001D65C1" w:rsidRPr="00994872" w:rsidRDefault="001D65C1" w:rsidP="001D65C1">
      <w:pPr>
        <w:pStyle w:val="SPEC2"/>
        <w:numPr>
          <w:ilvl w:val="2"/>
          <w:numId w:val="3"/>
        </w:numPr>
      </w:pPr>
      <w:r>
        <w:t>Construct subgrade to +/- </w:t>
      </w:r>
      <w:r w:rsidRPr="00994872">
        <w:t>¾</w:t>
      </w:r>
      <w:r>
        <w:t> </w:t>
      </w:r>
      <w:r w:rsidRPr="00994872">
        <w:t>inch of the grades and slopes specified on the Plans.</w:t>
      </w:r>
    </w:p>
    <w:p w14:paraId="51F3B31F" w14:textId="77777777" w:rsidR="001D65C1" w:rsidRPr="0033721E" w:rsidRDefault="001D65C1" w:rsidP="001D65C1">
      <w:pPr>
        <w:pStyle w:val="SPEC2"/>
        <w:numPr>
          <w:ilvl w:val="2"/>
          <w:numId w:val="3"/>
        </w:numPr>
      </w:pPr>
      <w:r w:rsidRPr="00994872">
        <w:t xml:space="preserve">Grading </w:t>
      </w:r>
      <w:r>
        <w:t>of</w:t>
      </w:r>
      <w:r w:rsidRPr="0033721E">
        <w:t xml:space="preserve"> subgrade shall be with</w:t>
      </w:r>
      <w:r>
        <w:t xml:space="preserve"> </w:t>
      </w:r>
      <w:r w:rsidRPr="0033721E">
        <w:t xml:space="preserve">low ground pressure equipment when within </w:t>
      </w:r>
      <w:r>
        <w:t>six (6) inches</w:t>
      </w:r>
      <w:r w:rsidRPr="0033721E">
        <w:t xml:space="preserve"> of final subgrade elevation.</w:t>
      </w:r>
    </w:p>
    <w:p w14:paraId="0D2B91A5" w14:textId="77777777" w:rsidR="001D65C1" w:rsidRPr="005309A6" w:rsidRDefault="001D65C1" w:rsidP="001D65C1">
      <w:pPr>
        <w:pStyle w:val="SPEC2"/>
        <w:numPr>
          <w:ilvl w:val="2"/>
          <w:numId w:val="3"/>
        </w:numPr>
      </w:pPr>
      <w:r>
        <w:t>Compact subgrade to 90 percent (+/- </w:t>
      </w:r>
      <w:r w:rsidRPr="005309A6">
        <w:t>2</w:t>
      </w:r>
      <w:r>
        <w:t> </w:t>
      </w:r>
      <w:r w:rsidRPr="005309A6">
        <w:t xml:space="preserve">percent) of the maximum dry density </w:t>
      </w:r>
      <w:r>
        <w:t>per standard Proctor test (ASTM </w:t>
      </w:r>
      <w:r w:rsidRPr="005309A6">
        <w:t>D698), or as directed by the Geotechnical Engineer. Determination of in-place density shall be made using a nuclear gauge per ASTM</w:t>
      </w:r>
      <w:r>
        <w:t> </w:t>
      </w:r>
      <w:r w:rsidRPr="005309A6">
        <w:t>D6939.</w:t>
      </w:r>
    </w:p>
    <w:p w14:paraId="5B7F1133" w14:textId="77777777" w:rsidR="001D65C1" w:rsidRDefault="001D65C1" w:rsidP="001D65C1">
      <w:pPr>
        <w:pStyle w:val="SPECIndent2"/>
        <w:rPr>
          <w:color w:val="00B050"/>
        </w:rPr>
      </w:pPr>
      <w:r w:rsidRPr="00BE4490">
        <w:rPr>
          <w:color w:val="00B050"/>
        </w:rPr>
        <w:t>DESIGNER NOTE: The designer should set compaction requirements based on consideration of site specific geotechnical properties of the native soil (e.g., permeability, stiffness) and performance requirements for the pavement section (e.g., traffic loading, infiltration, cost).</w:t>
      </w:r>
    </w:p>
    <w:p w14:paraId="34C3BC73" w14:textId="53F26C9A" w:rsidR="001D65C1" w:rsidRPr="008216B0" w:rsidRDefault="001D65C1" w:rsidP="001D65C1">
      <w:pPr>
        <w:pStyle w:val="SPEC2"/>
        <w:numPr>
          <w:ilvl w:val="2"/>
          <w:numId w:val="3"/>
        </w:numPr>
      </w:pPr>
      <w:r w:rsidRPr="008216B0">
        <w:lastRenderedPageBreak/>
        <w:t>Areas of the subgrade which are over-compacted</w:t>
      </w:r>
      <w:r w:rsidRPr="00D34066">
        <w:t>, as determined by the Geotechnical Engineer,</w:t>
      </w:r>
      <w:r w:rsidRPr="008216B0">
        <w:t xml:space="preserve"> shall be ripped/tilled </w:t>
      </w:r>
      <w:r w:rsidRPr="00D34066">
        <w:t>to a depth of 12</w:t>
      </w:r>
      <w:r>
        <w:t> </w:t>
      </w:r>
      <w:r w:rsidRPr="00D34066">
        <w:t>inches (minimum</w:t>
      </w:r>
      <w:r w:rsidRPr="008216B0">
        <w:t>)</w:t>
      </w:r>
      <w:r w:rsidRPr="00D34066">
        <w:t xml:space="preserve"> or as directed by the Geotechnical Engineer, and shall be </w:t>
      </w:r>
      <w:r w:rsidRPr="008216B0">
        <w:t xml:space="preserve">recompacted </w:t>
      </w:r>
      <w:r w:rsidRPr="00D34066">
        <w:t>in accordance with 3.0</w:t>
      </w:r>
      <w:r w:rsidR="00C03C72">
        <w:t>2</w:t>
      </w:r>
      <w:r w:rsidRPr="00D34066">
        <w:t>.C</w:t>
      </w:r>
      <w:r w:rsidRPr="008216B0">
        <w:t>.</w:t>
      </w:r>
      <w:r w:rsidRPr="00D34066">
        <w:t xml:space="preserve"> Contractor shall locate all utilities within pavement footprint prior to ripping and re-compacting subgrade</w:t>
      </w:r>
    </w:p>
    <w:p w14:paraId="54216955" w14:textId="77777777" w:rsidR="001D65C1" w:rsidRPr="0033721E" w:rsidRDefault="001D65C1" w:rsidP="001D65C1">
      <w:pPr>
        <w:pStyle w:val="SPEC2"/>
        <w:numPr>
          <w:ilvl w:val="2"/>
          <w:numId w:val="3"/>
        </w:numPr>
      </w:pPr>
      <w:r w:rsidRPr="00700E6C">
        <w:t>Proof-roll prepared subgrade</w:t>
      </w:r>
      <w:r>
        <w:t xml:space="preserve"> </w:t>
      </w:r>
      <w:r w:rsidRPr="005309A6">
        <w:t>with loaded dump truck</w:t>
      </w:r>
      <w:r w:rsidRPr="00700E6C">
        <w:t xml:space="preserve">, remove soft spots, and replace with permeable </w:t>
      </w:r>
      <w:r>
        <w:t>structural fill as directed by the E</w:t>
      </w:r>
      <w:r w:rsidRPr="00700E6C">
        <w:t>ngineer to achieve uniform subgrade.</w:t>
      </w:r>
    </w:p>
    <w:p w14:paraId="20D2CEC0" w14:textId="77777777" w:rsidR="001D65C1" w:rsidRDefault="001D65C1" w:rsidP="001D65C1">
      <w:pPr>
        <w:pStyle w:val="SPEC2"/>
        <w:numPr>
          <w:ilvl w:val="2"/>
          <w:numId w:val="3"/>
        </w:numPr>
      </w:pPr>
      <w:r w:rsidRPr="00700E6C">
        <w:t>After compaction</w:t>
      </w:r>
      <w:r>
        <w:t xml:space="preserve"> </w:t>
      </w:r>
      <w:r w:rsidRPr="005309A6">
        <w:t>and proof roll</w:t>
      </w:r>
      <w:r w:rsidRPr="00700E6C">
        <w:t xml:space="preserve">, scarify subgrade </w:t>
      </w:r>
      <w:r>
        <w:t>¼ </w:t>
      </w:r>
      <w:r w:rsidRPr="00700E6C">
        <w:t xml:space="preserve">to </w:t>
      </w:r>
      <w:r>
        <w:t>½ </w:t>
      </w:r>
      <w:r w:rsidRPr="00700E6C">
        <w:t>inch deep by hand rake.</w:t>
      </w:r>
      <w:r>
        <w:t xml:space="preserve"> Once scarified, materials or equipment shall not be permitted within the prepared subgrade area so as to avoid </w:t>
      </w:r>
      <w:proofErr w:type="spellStart"/>
      <w:r>
        <w:t>recompaction</w:t>
      </w:r>
      <w:proofErr w:type="spellEnd"/>
      <w:r>
        <w:t xml:space="preserve"> or clogging of the scarified subgrade.</w:t>
      </w:r>
    </w:p>
    <w:p w14:paraId="525272AB" w14:textId="77777777" w:rsidR="001D65C1" w:rsidRDefault="001D65C1" w:rsidP="001D65C1">
      <w:pPr>
        <w:pStyle w:val="SPEC2"/>
        <w:numPr>
          <w:ilvl w:val="2"/>
          <w:numId w:val="3"/>
        </w:numPr>
      </w:pPr>
      <w:r w:rsidRPr="0033721E">
        <w:t xml:space="preserve">The subgrade shall be protected from </w:t>
      </w:r>
      <w:r>
        <w:t>over-</w:t>
      </w:r>
      <w:r w:rsidRPr="0033721E">
        <w:t xml:space="preserve">compaction or contamination by silty </w:t>
      </w:r>
      <w:r w:rsidRPr="00B06BF6">
        <w:t>run-off or other contaminants.</w:t>
      </w:r>
    </w:p>
    <w:p w14:paraId="4005D892" w14:textId="77777777" w:rsidR="001D65C1" w:rsidRPr="00B06BF6" w:rsidRDefault="001D65C1" w:rsidP="001D65C1">
      <w:pPr>
        <w:pStyle w:val="SPEC3"/>
        <w:numPr>
          <w:ilvl w:val="3"/>
          <w:numId w:val="3"/>
        </w:numPr>
      </w:pPr>
      <w:r w:rsidRPr="00B06BF6">
        <w:t>Provide physical barriers or direct traffic to eliminate unnecessary vehicular traffic on the subgrade during construction</w:t>
      </w:r>
      <w:r w:rsidRPr="00B00F16">
        <w:t xml:space="preserve"> </w:t>
      </w:r>
      <w:r w:rsidRPr="005309A6">
        <w:t xml:space="preserve">in </w:t>
      </w:r>
      <w:r w:rsidRPr="005B3195">
        <w:t>accordance with SFMTA and SFDPW ordinances and specifications.</w:t>
      </w:r>
    </w:p>
    <w:p w14:paraId="3B5239B2" w14:textId="77777777" w:rsidR="001D65C1" w:rsidRPr="00B06BF6" w:rsidRDefault="001D65C1" w:rsidP="001D65C1">
      <w:pPr>
        <w:pStyle w:val="SPEC3"/>
        <w:numPr>
          <w:ilvl w:val="3"/>
          <w:numId w:val="3"/>
        </w:numPr>
      </w:pPr>
      <w:r w:rsidRPr="00B06BF6">
        <w:t>Provide flow diversion and erosion control measures to protect the permeable pavement area from sedimentation until the upstream catchment area is thoroughly stabilized.</w:t>
      </w:r>
    </w:p>
    <w:p w14:paraId="5C7C47A4" w14:textId="44C366D2" w:rsidR="001D65C1" w:rsidRDefault="001D65C1" w:rsidP="001D65C1">
      <w:pPr>
        <w:pStyle w:val="SPEC2"/>
        <w:numPr>
          <w:ilvl w:val="2"/>
          <w:numId w:val="3"/>
        </w:numPr>
      </w:pPr>
      <w:r>
        <w:t>Areas of subgrade over-compacted by construction traffic or other impacts by the Contractor or Subcontractors shall be ripped/tilled and re-compacted in accordance with Section 3.0</w:t>
      </w:r>
      <w:r w:rsidR="00C03C72">
        <w:t>2</w:t>
      </w:r>
      <w:r>
        <w:t>.D. All work and materials required to correct the over-compacted subgrade, including utility locates within the pavement footprint, shall be at the Contractor’s expense.</w:t>
      </w:r>
    </w:p>
    <w:p w14:paraId="26D54096" w14:textId="77777777" w:rsidR="001D65C1" w:rsidRPr="0033721E" w:rsidRDefault="001D65C1" w:rsidP="001D65C1">
      <w:pPr>
        <w:pStyle w:val="SPEC2"/>
        <w:numPr>
          <w:ilvl w:val="2"/>
          <w:numId w:val="3"/>
        </w:numPr>
      </w:pPr>
      <w:r w:rsidRPr="0033721E">
        <w:t xml:space="preserve">Areas of subgrade contaminated by the accumulation of silty material following rains or other debris or contamination shall be removed and disposed at the </w:t>
      </w:r>
      <w:r>
        <w:t>C</w:t>
      </w:r>
      <w:r w:rsidRPr="0033721E">
        <w:t>ontractor’s expense.</w:t>
      </w:r>
    </w:p>
    <w:p w14:paraId="5E1B8472" w14:textId="77777777" w:rsidR="001D65C1" w:rsidRPr="00700E6C" w:rsidRDefault="001D65C1" w:rsidP="001D65C1">
      <w:pPr>
        <w:pStyle w:val="SPEC2"/>
        <w:numPr>
          <w:ilvl w:val="2"/>
          <w:numId w:val="3"/>
        </w:numPr>
      </w:pPr>
      <w:r>
        <w:t>The subgrade shall be inspected and accepted by the Engineer prior to placement of the geotextile or pavement base.</w:t>
      </w:r>
    </w:p>
    <w:p w14:paraId="60B4EDF7" w14:textId="77777777" w:rsidR="001D65C1" w:rsidRDefault="001D65C1" w:rsidP="001D65C1">
      <w:pPr>
        <w:pStyle w:val="SPEC2"/>
        <w:numPr>
          <w:ilvl w:val="2"/>
          <w:numId w:val="3"/>
        </w:numPr>
      </w:pPr>
      <w:r w:rsidRPr="00700E6C">
        <w:t>Place geotextile, if required, on scarified subgrade.</w:t>
      </w:r>
      <w:r>
        <w:t xml:space="preserve"> Care shall be taken to provide full coverage and to prevent the geotextile from being torn. Damaged geotextile shall be repaired as indicated by the manufacturer and to the satisfaction of the Engineer, at the Contractor’s expense. Overlaps of the geotextile shall be a minimum of 1 foot or to the manufacturer’s recommendation, whichever is greater.</w:t>
      </w:r>
    </w:p>
    <w:p w14:paraId="181A13CB" w14:textId="77777777" w:rsidR="001D65C1" w:rsidRPr="00BE4490" w:rsidRDefault="001D65C1" w:rsidP="001D65C1">
      <w:pPr>
        <w:pStyle w:val="SPECIndent2"/>
        <w:rPr>
          <w:color w:val="00B050"/>
        </w:rPr>
      </w:pPr>
      <w:r w:rsidRPr="00BE4490">
        <w:rPr>
          <w:color w:val="00B050"/>
        </w:rPr>
        <w:t>DESIGNER NOTE: The use of geotextile under permeable pavement systems should be avoided unless required by the project geotechnical engineer as it can be prone to subsurface clogging.</w:t>
      </w:r>
    </w:p>
    <w:p w14:paraId="3B761E46" w14:textId="3698C3A0" w:rsidR="001D65C1" w:rsidRPr="0033721E" w:rsidRDefault="000013F7" w:rsidP="001D65C1">
      <w:pPr>
        <w:pStyle w:val="SPEC1"/>
        <w:numPr>
          <w:ilvl w:val="1"/>
          <w:numId w:val="3"/>
        </w:numPr>
      </w:pPr>
      <w:r>
        <w:rPr>
          <w:caps w:val="0"/>
        </w:rPr>
        <w:lastRenderedPageBreak/>
        <w:t>PAVEMENT BASE</w:t>
      </w:r>
    </w:p>
    <w:p w14:paraId="3D7440DE" w14:textId="77777777" w:rsidR="001D65C1" w:rsidRDefault="001D65C1" w:rsidP="001D65C1">
      <w:pPr>
        <w:pStyle w:val="SPEC2"/>
        <w:numPr>
          <w:ilvl w:val="2"/>
          <w:numId w:val="3"/>
        </w:numPr>
      </w:pPr>
      <w:r>
        <w:t>Construct pavement base to the lines, grades, and thicknesses shown on the Plans.</w:t>
      </w:r>
    </w:p>
    <w:p w14:paraId="2FE94B88" w14:textId="77777777" w:rsidR="001D65C1" w:rsidRDefault="001D65C1" w:rsidP="001D65C1">
      <w:pPr>
        <w:pStyle w:val="SPEC2"/>
        <w:numPr>
          <w:ilvl w:val="2"/>
          <w:numId w:val="3"/>
        </w:numPr>
      </w:pPr>
      <w:r>
        <w:t>Place the pavement base so as to prevent loaded dump trucks from driving directly on the prepared subgrade.</w:t>
      </w:r>
    </w:p>
    <w:p w14:paraId="240373CE" w14:textId="0CC29565" w:rsidR="001D65C1" w:rsidRPr="00B70548" w:rsidRDefault="001D65C1" w:rsidP="001D65C1">
      <w:pPr>
        <w:pStyle w:val="SPEC2"/>
        <w:numPr>
          <w:ilvl w:val="2"/>
          <w:numId w:val="3"/>
        </w:numPr>
      </w:pPr>
      <w:r w:rsidRPr="005309A6">
        <w:t>Compact pavement base, in six (6)</w:t>
      </w:r>
      <w:r>
        <w:noBreakHyphen/>
      </w:r>
      <w:r w:rsidRPr="005309A6">
        <w:t>inch (maximum) lifts, by making a minimum of three passes over the pavement base material with a ten (10)</w:t>
      </w:r>
      <w:r>
        <w:noBreakHyphen/>
      </w:r>
      <w:r w:rsidRPr="005309A6">
        <w:t xml:space="preserve">ton vibratory roller, or as directed by the Geotechnical Engineer. The first two </w:t>
      </w:r>
      <w:r>
        <w:t>(2) </w:t>
      </w:r>
      <w:r w:rsidRPr="005309A6">
        <w:t>passes (minimum) shall be in vibratory mode.</w:t>
      </w:r>
      <w:r>
        <w:t xml:space="preserve"> </w:t>
      </w:r>
      <w:r w:rsidR="00C03C72" w:rsidRPr="001805F0">
        <w:t xml:space="preserve">Acceptance of the pavement base will be based on Engineer’s observation </w:t>
      </w:r>
      <w:r w:rsidR="00C03C72">
        <w:t>that compaction has achieved an unyielding surface</w:t>
      </w:r>
      <w:r w:rsidR="00C03C72" w:rsidRPr="001805F0">
        <w:t xml:space="preserve">. </w:t>
      </w:r>
      <w:r w:rsidRPr="00B70548">
        <w:t>Compaction equipment shall be accepted by the Engineer prior to use.</w:t>
      </w:r>
    </w:p>
    <w:p w14:paraId="337E5FAF" w14:textId="77777777" w:rsidR="001D65C1" w:rsidRPr="00BE4490" w:rsidRDefault="001D65C1" w:rsidP="001D65C1">
      <w:pPr>
        <w:pStyle w:val="SPECIndent2"/>
        <w:rPr>
          <w:color w:val="00B050"/>
        </w:rPr>
      </w:pPr>
      <w:r w:rsidRPr="00BE4490">
        <w:rPr>
          <w:color w:val="00B050"/>
        </w:rPr>
        <w:t>DESIGNER NOTE: For areas or sites that cannot accommodate a vibratory roller compactor, consider allowing compaction of pavement base with a 13,500 </w:t>
      </w:r>
      <w:proofErr w:type="spellStart"/>
      <w:r w:rsidRPr="00BE4490">
        <w:rPr>
          <w:color w:val="00B050"/>
        </w:rPr>
        <w:t>lbf</w:t>
      </w:r>
      <w:proofErr w:type="spellEnd"/>
      <w:r w:rsidRPr="00BE4490">
        <w:rPr>
          <w:color w:val="00B050"/>
        </w:rPr>
        <w:t xml:space="preserve"> (60 </w:t>
      </w:r>
      <w:proofErr w:type="spellStart"/>
      <w:r w:rsidRPr="00BE4490">
        <w:rPr>
          <w:color w:val="00B050"/>
        </w:rPr>
        <w:t>kN</w:t>
      </w:r>
      <w:proofErr w:type="spellEnd"/>
      <w:r w:rsidRPr="00BE4490">
        <w:rPr>
          <w:color w:val="00B050"/>
        </w:rPr>
        <w:t>) minimum vibratory plate compactor with a compaction indicator. At least two passes should be made over each lift of the aggregates.</w:t>
      </w:r>
    </w:p>
    <w:p w14:paraId="122978BF" w14:textId="77777777" w:rsidR="001D65C1" w:rsidRDefault="001D65C1" w:rsidP="001D65C1">
      <w:pPr>
        <w:pStyle w:val="SPEC2"/>
        <w:numPr>
          <w:ilvl w:val="2"/>
          <w:numId w:val="3"/>
        </w:numPr>
      </w:pPr>
      <w:r>
        <w:t>Pavement base shall be true to the designed grade and slope, +/- 0.05 feet, after compaction for each layer. In the event of low spots additional material shall be added and recompacted. In the event of high spots, excess material shall be removed and the area recompacted.</w:t>
      </w:r>
    </w:p>
    <w:p w14:paraId="5C09E564" w14:textId="77777777" w:rsidR="001D65C1" w:rsidRDefault="001D65C1" w:rsidP="001D65C1">
      <w:pPr>
        <w:pStyle w:val="SPEC2"/>
        <w:numPr>
          <w:ilvl w:val="2"/>
          <w:numId w:val="3"/>
        </w:numPr>
      </w:pPr>
      <w:r w:rsidRPr="0033721E">
        <w:t xml:space="preserve">The </w:t>
      </w:r>
      <w:r>
        <w:t>pavement base</w:t>
      </w:r>
      <w:r w:rsidRPr="0033721E">
        <w:t xml:space="preserve"> shall be protected from </w:t>
      </w:r>
      <w:r>
        <w:t>over-</w:t>
      </w:r>
      <w:r w:rsidRPr="0033721E">
        <w:t xml:space="preserve">compaction or </w:t>
      </w:r>
      <w:r w:rsidRPr="003546F4">
        <w:t>contamination by silty run-off or other contaminants.</w:t>
      </w:r>
    </w:p>
    <w:p w14:paraId="02B21B67" w14:textId="77777777" w:rsidR="001D65C1" w:rsidRPr="009030EE" w:rsidRDefault="001D65C1" w:rsidP="001D65C1">
      <w:pPr>
        <w:pStyle w:val="SPEC3"/>
        <w:numPr>
          <w:ilvl w:val="3"/>
          <w:numId w:val="3"/>
        </w:numPr>
      </w:pPr>
      <w:r w:rsidRPr="003546F4">
        <w:t xml:space="preserve">Provide physical barriers or direct traffic to eliminate unnecessary </w:t>
      </w:r>
      <w:r w:rsidRPr="005B3195">
        <w:t>vehicular traffic on the pavement base during construction in</w:t>
      </w:r>
      <w:r w:rsidRPr="005309A6">
        <w:t xml:space="preserve"> </w:t>
      </w:r>
      <w:r w:rsidRPr="009030EE">
        <w:t>accordance with SFMTA and SFDPW ordinances and specifications.</w:t>
      </w:r>
    </w:p>
    <w:p w14:paraId="05D1EB61" w14:textId="77777777" w:rsidR="001D65C1" w:rsidRPr="003546F4" w:rsidRDefault="001D65C1" w:rsidP="001D65C1">
      <w:pPr>
        <w:pStyle w:val="SPEC3"/>
        <w:numPr>
          <w:ilvl w:val="3"/>
          <w:numId w:val="3"/>
        </w:numPr>
      </w:pPr>
      <w:r w:rsidRPr="003546F4">
        <w:t>Provide flow diversion and erosion control measures to protect the permeable pavement area from sedimentation until the upstream catchment area is thoroughly stabilized.</w:t>
      </w:r>
    </w:p>
    <w:p w14:paraId="613F9B1D" w14:textId="77777777" w:rsidR="001D65C1" w:rsidRDefault="001D65C1" w:rsidP="001D65C1">
      <w:pPr>
        <w:pStyle w:val="SPEC2"/>
        <w:numPr>
          <w:ilvl w:val="2"/>
          <w:numId w:val="3"/>
        </w:numPr>
      </w:pPr>
      <w:r>
        <w:t>Any damage to the pavement base (including contamination by silty run-off) shall be repaired to the satisfaction of the Engineer at the Contractor’s expense. Contaminated pavement base shall be removed and replaced to the limits as determined by the Engineer.</w:t>
      </w:r>
    </w:p>
    <w:p w14:paraId="602EA52E" w14:textId="77777777" w:rsidR="001D65C1" w:rsidRDefault="001D65C1" w:rsidP="001D65C1">
      <w:pPr>
        <w:pStyle w:val="SPEC2"/>
        <w:numPr>
          <w:ilvl w:val="2"/>
          <w:numId w:val="3"/>
        </w:numPr>
      </w:pPr>
      <w:r>
        <w:t>The pavement base shall be inspected and accepted by the Engineer prior to placing any porous asphalt.</w:t>
      </w:r>
    </w:p>
    <w:p w14:paraId="7883B7B7" w14:textId="68E51C79" w:rsidR="001D65C1" w:rsidRDefault="000013F7" w:rsidP="001D65C1">
      <w:pPr>
        <w:pStyle w:val="SPEC1"/>
        <w:numPr>
          <w:ilvl w:val="1"/>
          <w:numId w:val="3"/>
        </w:numPr>
      </w:pPr>
      <w:r>
        <w:rPr>
          <w:caps w:val="0"/>
        </w:rPr>
        <w:t>POROUS ASPHALT</w:t>
      </w:r>
      <w:r w:rsidRPr="0033721E">
        <w:rPr>
          <w:caps w:val="0"/>
        </w:rPr>
        <w:t xml:space="preserve"> </w:t>
      </w:r>
      <w:r>
        <w:rPr>
          <w:caps w:val="0"/>
        </w:rPr>
        <w:t>PREPARATION</w:t>
      </w:r>
    </w:p>
    <w:p w14:paraId="702BD7CC" w14:textId="65F71BD8" w:rsidR="001D65C1" w:rsidRDefault="001D65C1" w:rsidP="001D65C1">
      <w:pPr>
        <w:pStyle w:val="SPECIndent"/>
        <w:rPr>
          <w:color w:val="00B050"/>
        </w:rPr>
      </w:pPr>
      <w:r w:rsidRPr="00BE4490">
        <w:rPr>
          <w:color w:val="00B050"/>
        </w:rPr>
        <w:t>DESIGNER NOTE: Designer should specify where a tack coat should be applied, if at all. See 3.0</w:t>
      </w:r>
      <w:r w:rsidR="00C03C72">
        <w:rPr>
          <w:color w:val="00B050"/>
        </w:rPr>
        <w:t>4</w:t>
      </w:r>
      <w:r w:rsidRPr="00BE4490">
        <w:rPr>
          <w:color w:val="00B050"/>
        </w:rPr>
        <w:t>.A.2 for list of potential locations.</w:t>
      </w:r>
    </w:p>
    <w:p w14:paraId="5D0291BD" w14:textId="77777777" w:rsidR="001D65C1" w:rsidRPr="0033721E" w:rsidRDefault="001D65C1" w:rsidP="006C6914">
      <w:pPr>
        <w:pStyle w:val="SPEC2"/>
      </w:pPr>
      <w:r>
        <w:lastRenderedPageBreak/>
        <w:t xml:space="preserve">Preparation for placement of porous asphalt pavement shall comply </w:t>
      </w:r>
      <w:r w:rsidRPr="004A2AB6">
        <w:t xml:space="preserve">with </w:t>
      </w:r>
      <w:r>
        <w:t>Section 39</w:t>
      </w:r>
      <w:r>
        <w:noBreakHyphen/>
        <w:t>1.09 of the Caltrans Standard Specifications</w:t>
      </w:r>
      <w:r w:rsidRPr="004A2AB6">
        <w:t>, except as noted below.</w:t>
      </w:r>
    </w:p>
    <w:p w14:paraId="469DD767" w14:textId="77777777" w:rsidR="001D65C1" w:rsidRDefault="001D65C1" w:rsidP="001D65C1">
      <w:pPr>
        <w:pStyle w:val="SPEC3"/>
        <w:numPr>
          <w:ilvl w:val="3"/>
          <w:numId w:val="3"/>
        </w:numPr>
      </w:pPr>
      <w:r w:rsidRPr="00BE4490">
        <w:rPr>
          <w:rStyle w:val="EmphasisUnderline"/>
        </w:rPr>
        <w:t>Pavement Base</w:t>
      </w:r>
      <w:r>
        <w:t>: Confirm that the completed pavement base conforms to these specifications.</w:t>
      </w:r>
    </w:p>
    <w:p w14:paraId="305D58CB" w14:textId="77777777" w:rsidR="001D65C1" w:rsidRDefault="001D65C1" w:rsidP="001D65C1">
      <w:pPr>
        <w:pStyle w:val="SPEC3"/>
        <w:numPr>
          <w:ilvl w:val="3"/>
          <w:numId w:val="3"/>
        </w:numPr>
      </w:pPr>
      <w:r w:rsidRPr="00BE4490">
        <w:rPr>
          <w:rStyle w:val="EmphasisUnderline"/>
        </w:rPr>
        <w:t>Tack Coat</w:t>
      </w:r>
      <w:r>
        <w:t xml:space="preserve">: Shall not be used except </w:t>
      </w:r>
      <w:r w:rsidRPr="001E2791">
        <w:t xml:space="preserve">on vertical faces of curbs, </w:t>
      </w:r>
      <w:r w:rsidRPr="00FF11FC">
        <w:t>edges of PCC structures, or when paving over areas with impermeable bases.</w:t>
      </w:r>
    </w:p>
    <w:p w14:paraId="08243D70" w14:textId="77777777" w:rsidR="001D65C1" w:rsidRPr="007719F2" w:rsidRDefault="001D65C1" w:rsidP="001D65C1">
      <w:pPr>
        <w:pStyle w:val="SPEC3"/>
        <w:numPr>
          <w:ilvl w:val="3"/>
          <w:numId w:val="3"/>
        </w:numPr>
      </w:pPr>
      <w:r w:rsidRPr="00BE4490">
        <w:rPr>
          <w:rStyle w:val="EmphasisUnderline"/>
        </w:rPr>
        <w:t>Geosynthetic Pavement Interlay</w:t>
      </w:r>
      <w:r>
        <w:t>:</w:t>
      </w:r>
      <w:r w:rsidRPr="001E0391">
        <w:t xml:space="preserve"> Shall </w:t>
      </w:r>
      <w:r w:rsidRPr="008F07F7">
        <w:t>not be used.</w:t>
      </w:r>
    </w:p>
    <w:p w14:paraId="7155B56C" w14:textId="77777777" w:rsidR="001D65C1" w:rsidRDefault="001D65C1" w:rsidP="001D65C1">
      <w:pPr>
        <w:pStyle w:val="SPEC3"/>
        <w:numPr>
          <w:ilvl w:val="3"/>
          <w:numId w:val="3"/>
        </w:numPr>
      </w:pPr>
      <w:r w:rsidRPr="00BE4490">
        <w:rPr>
          <w:rStyle w:val="EmphasisUnderline"/>
        </w:rPr>
        <w:t>Environmental Conditions</w:t>
      </w:r>
      <w:r>
        <w:t>:</w:t>
      </w:r>
      <w:r w:rsidRPr="008F07F7">
        <w:t xml:space="preserve"> Do not place porous asphalt when </w:t>
      </w:r>
      <w:r>
        <w:t xml:space="preserve">the </w:t>
      </w:r>
      <w:r w:rsidRPr="008F07F7">
        <w:t>ambient temperature is less than 60 degrees Fahrenheit, on any wet surface, or when the average ground surface temperature is less than 45 degrees Fahrenheit.</w:t>
      </w:r>
    </w:p>
    <w:p w14:paraId="001DD1DF" w14:textId="77777777" w:rsidR="001D65C1" w:rsidRPr="008F07F7" w:rsidRDefault="001D65C1" w:rsidP="001D65C1">
      <w:pPr>
        <w:pStyle w:val="SPEC3"/>
        <w:numPr>
          <w:ilvl w:val="3"/>
          <w:numId w:val="3"/>
        </w:numPr>
      </w:pPr>
      <w:r w:rsidRPr="00BE4490">
        <w:rPr>
          <w:rStyle w:val="EmphasisUnderline"/>
        </w:rPr>
        <w:t>Qualified Personnel</w:t>
      </w:r>
      <w:r>
        <w:t>: The qualified foreman as defined in 1.05.B.2 shall be onsite for the duration of porous asphalt preparation.</w:t>
      </w:r>
    </w:p>
    <w:p w14:paraId="1308FF34" w14:textId="77777777" w:rsidR="001D65C1" w:rsidRDefault="001D65C1" w:rsidP="001D65C1">
      <w:pPr>
        <w:pStyle w:val="SPEC1"/>
        <w:numPr>
          <w:ilvl w:val="1"/>
          <w:numId w:val="3"/>
        </w:numPr>
      </w:pPr>
      <w:r>
        <w:t>POROUS ASPHALT</w:t>
      </w:r>
      <w:r w:rsidRPr="0033721E">
        <w:t xml:space="preserve"> </w:t>
      </w:r>
      <w:r>
        <w:t>PLACEMENT</w:t>
      </w:r>
    </w:p>
    <w:p w14:paraId="5B33214B" w14:textId="77777777" w:rsidR="001D65C1" w:rsidRPr="00BE4490" w:rsidRDefault="001D65C1" w:rsidP="001D65C1">
      <w:pPr>
        <w:pStyle w:val="SPECIndent"/>
        <w:rPr>
          <w:color w:val="00B050"/>
        </w:rPr>
      </w:pPr>
      <w:r w:rsidRPr="00BE4490">
        <w:rPr>
          <w:color w:val="00B050"/>
        </w:rPr>
        <w:t>DESIGNER NOTE: Designer should specify where a tack coat should be applied (e.g., face of curb, structures,) if at all.</w:t>
      </w:r>
    </w:p>
    <w:p w14:paraId="53911351" w14:textId="77777777" w:rsidR="001D65C1" w:rsidRPr="0033721E" w:rsidRDefault="001D65C1" w:rsidP="006C6914">
      <w:pPr>
        <w:pStyle w:val="SPEC2"/>
      </w:pPr>
      <w:r>
        <w:t xml:space="preserve">Porous asphalt equipment, transportation, spreading, and compacting shall comply </w:t>
      </w:r>
      <w:r w:rsidRPr="004A2AB6">
        <w:t xml:space="preserve">with </w:t>
      </w:r>
      <w:r>
        <w:t>the Caltrans Specification</w:t>
      </w:r>
      <w:r w:rsidRPr="004A2AB6">
        <w:t xml:space="preserve"> </w:t>
      </w:r>
      <w:r w:rsidRPr="00F908FB">
        <w:t>applicable to Open Graded Friction Course (OGFC), except as noted below or as specified in the approved mix design.</w:t>
      </w:r>
    </w:p>
    <w:p w14:paraId="7F9EEB01" w14:textId="77777777" w:rsidR="001D65C1" w:rsidRPr="00A23B02" w:rsidRDefault="001D65C1" w:rsidP="001D65C1">
      <w:pPr>
        <w:pStyle w:val="SPEC2"/>
        <w:numPr>
          <w:ilvl w:val="2"/>
          <w:numId w:val="3"/>
        </w:numPr>
      </w:pPr>
      <w:r w:rsidRPr="00BE4490">
        <w:rPr>
          <w:rStyle w:val="EmphasisUnderline"/>
        </w:rPr>
        <w:t>Qualified Personnel</w:t>
      </w:r>
      <w:r w:rsidRPr="00BE4490">
        <w:t>:</w:t>
      </w:r>
      <w:r>
        <w:t xml:space="preserve"> </w:t>
      </w:r>
      <w:r w:rsidRPr="00F908FB">
        <w:t xml:space="preserve">The qualified foreman as defined in 1.05.B.2 shall be onsite for the duration of porous asphalt </w:t>
      </w:r>
      <w:r>
        <w:t>placement</w:t>
      </w:r>
      <w:r w:rsidRPr="00F908FB">
        <w:t>.</w:t>
      </w:r>
    </w:p>
    <w:p w14:paraId="0EAA8ABD" w14:textId="77777777" w:rsidR="001D65C1" w:rsidRDefault="001D65C1" w:rsidP="001D65C1">
      <w:pPr>
        <w:pStyle w:val="SPEC2"/>
        <w:numPr>
          <w:ilvl w:val="2"/>
          <w:numId w:val="3"/>
        </w:numPr>
      </w:pPr>
      <w:r w:rsidRPr="00BE4490">
        <w:rPr>
          <w:rStyle w:val="EmphasisUnderline"/>
        </w:rPr>
        <w:t>Spreading and Compacting Equipment</w:t>
      </w:r>
      <w:r w:rsidRPr="00BE4490">
        <w:t xml:space="preserve">: </w:t>
      </w:r>
      <w:r w:rsidRPr="001E2791">
        <w:t xml:space="preserve">shall conform to </w:t>
      </w:r>
      <w:r>
        <w:t>Section 39</w:t>
      </w:r>
      <w:r>
        <w:noBreakHyphen/>
        <w:t>1.10 of the Caltrans Standard Specifications except that pneumatic tire rollers shall not be used</w:t>
      </w:r>
      <w:r w:rsidRPr="008F07F7">
        <w:t>.</w:t>
      </w:r>
    </w:p>
    <w:p w14:paraId="3F99346D" w14:textId="77777777" w:rsidR="001D65C1" w:rsidRPr="00BE4490" w:rsidRDefault="001D65C1" w:rsidP="001D65C1">
      <w:pPr>
        <w:pStyle w:val="SPECIndent"/>
      </w:pPr>
      <w:r w:rsidRPr="00BE4490">
        <w:rPr>
          <w:color w:val="00B050"/>
        </w:rPr>
        <w:t>DESIGNER NOTE: The compaction could be established by the contractor rather than prescribed below depending on whether the contracting agency prefers to take a prescriptive approach or performance based approach. Prescriptive is used here because full depth porous asphalt is an emerging technology and there are limited density specifications for open graded (porous) asphalt mixtures. But care must be taken to ensure this prescriptive specification is compatible with the acceptance criteria.</w:t>
      </w:r>
    </w:p>
    <w:p w14:paraId="737D032D" w14:textId="77777777" w:rsidR="001D65C1" w:rsidRPr="00BE4490" w:rsidRDefault="001D65C1" w:rsidP="001D65C1">
      <w:pPr>
        <w:pStyle w:val="SPEC2"/>
        <w:numPr>
          <w:ilvl w:val="2"/>
          <w:numId w:val="3"/>
        </w:numPr>
      </w:pPr>
      <w:r w:rsidRPr="00BE4490">
        <w:rPr>
          <w:rStyle w:val="EmphasisUnderline"/>
        </w:rPr>
        <w:t>Spreading and Compacting</w:t>
      </w:r>
      <w:r>
        <w:t>:</w:t>
      </w:r>
    </w:p>
    <w:p w14:paraId="1DEFBD6D" w14:textId="77777777" w:rsidR="001D65C1" w:rsidRPr="00B169AB" w:rsidRDefault="001D65C1" w:rsidP="001D65C1">
      <w:pPr>
        <w:pStyle w:val="SPECIndent2"/>
      </w:pPr>
      <w:r w:rsidRPr="0059334B">
        <w:t>The</w:t>
      </w:r>
      <w:r>
        <w:t xml:space="preserve"> type of rollers to be used and their relative position in the compaction sequence shall be dictated by the contractor provided the requirements below are met and the completed porous asphalt meets the required quality characteristics specified in Section 1.05. Deviation from the requirements below must be approved in advance by the Engineer.</w:t>
      </w:r>
    </w:p>
    <w:p w14:paraId="1142BD9E" w14:textId="77777777" w:rsidR="001D65C1" w:rsidRDefault="001D65C1" w:rsidP="001D65C1">
      <w:pPr>
        <w:pStyle w:val="SPEC3"/>
        <w:numPr>
          <w:ilvl w:val="3"/>
          <w:numId w:val="3"/>
        </w:numPr>
      </w:pPr>
      <w:r w:rsidRPr="00657347">
        <w:lastRenderedPageBreak/>
        <w:t xml:space="preserve">The porous asphalt shall be laid in lifts of </w:t>
      </w:r>
      <w:r>
        <w:t>up to 4 </w:t>
      </w:r>
      <w:r w:rsidRPr="00657347">
        <w:t>inches in thickness using approved equipment to achieve the total thickness indicated in the Plans.</w:t>
      </w:r>
    </w:p>
    <w:p w14:paraId="487100A8" w14:textId="77777777" w:rsidR="001D65C1" w:rsidRPr="006C6914" w:rsidRDefault="001D65C1" w:rsidP="006C6914">
      <w:pPr>
        <w:pStyle w:val="SPECIndent2"/>
        <w:rPr>
          <w:color w:val="00B050"/>
        </w:rPr>
      </w:pPr>
      <w:r w:rsidRPr="006C6914">
        <w:rPr>
          <w:color w:val="00B050"/>
        </w:rPr>
        <w:t>DESIGNER NOTE: Designer should consider using thinner lifts to the extent practical to ensure better compaction.</w:t>
      </w:r>
    </w:p>
    <w:p w14:paraId="323317F5" w14:textId="77777777" w:rsidR="001D65C1" w:rsidRDefault="001D65C1" w:rsidP="001D65C1">
      <w:pPr>
        <w:pStyle w:val="SPEC3"/>
        <w:numPr>
          <w:ilvl w:val="3"/>
          <w:numId w:val="3"/>
        </w:numPr>
      </w:pPr>
      <w:r w:rsidRPr="00657347">
        <w:t xml:space="preserve">The temperature of the Porous HMA mix </w:t>
      </w:r>
      <w:r>
        <w:t xml:space="preserve">during laying, breakdown rolling, and finished rolling, </w:t>
      </w:r>
      <w:r w:rsidRPr="00657347">
        <w:t xml:space="preserve">shall be </w:t>
      </w:r>
      <w:r>
        <w:t>within the supplier-recommended temperature range.</w:t>
      </w:r>
    </w:p>
    <w:p w14:paraId="6D2ACD32" w14:textId="77777777" w:rsidR="001D65C1" w:rsidRDefault="001D65C1" w:rsidP="001D65C1">
      <w:pPr>
        <w:pStyle w:val="SPEC3"/>
        <w:numPr>
          <w:ilvl w:val="3"/>
          <w:numId w:val="3"/>
        </w:numPr>
      </w:pPr>
      <w:r w:rsidRPr="00657347">
        <w:t xml:space="preserve">Breakdown rolling shall be performed with </w:t>
      </w:r>
      <w:r>
        <w:t xml:space="preserve">one </w:t>
      </w:r>
      <w:r w:rsidRPr="00657347">
        <w:t xml:space="preserve">or </w:t>
      </w:r>
      <w:r>
        <w:t xml:space="preserve">two </w:t>
      </w:r>
      <w:r w:rsidRPr="00657347">
        <w:t>passes of a 7.5</w:t>
      </w:r>
      <w:r>
        <w:noBreakHyphen/>
        <w:t> to 10</w:t>
      </w:r>
      <w:r>
        <w:noBreakHyphen/>
      </w:r>
      <w:r w:rsidRPr="00657347">
        <w:t xml:space="preserve">ton vibratory roller </w:t>
      </w:r>
      <w:r>
        <w:t xml:space="preserve">operated in low amplitude mode </w:t>
      </w:r>
      <w:r w:rsidRPr="00657347">
        <w:t xml:space="preserve">when the mix temperature is </w:t>
      </w:r>
      <w:r>
        <w:t>within the supplier-recommended temperature range</w:t>
      </w:r>
      <w:r w:rsidRPr="00657347">
        <w:t>.</w:t>
      </w:r>
    </w:p>
    <w:p w14:paraId="1E0EE40A" w14:textId="77777777" w:rsidR="001D65C1" w:rsidRDefault="001D65C1" w:rsidP="001D65C1">
      <w:pPr>
        <w:pStyle w:val="SPEC3"/>
        <w:numPr>
          <w:ilvl w:val="3"/>
          <w:numId w:val="3"/>
        </w:numPr>
      </w:pPr>
      <w:r w:rsidRPr="00657347">
        <w:t>Finished rolling shall be performed with a double-drum finish roller operated in static mode</w:t>
      </w:r>
      <w:r>
        <w:t xml:space="preserve"> </w:t>
      </w:r>
      <w:r w:rsidRPr="00657347">
        <w:t xml:space="preserve">when the mix temperature is </w:t>
      </w:r>
      <w:r>
        <w:t>within the supplier-recommended temperature range</w:t>
      </w:r>
      <w:r w:rsidRPr="00657347">
        <w:t>.</w:t>
      </w:r>
    </w:p>
    <w:p w14:paraId="3C4F0443" w14:textId="77777777" w:rsidR="001D65C1" w:rsidRDefault="001D65C1" w:rsidP="001D65C1">
      <w:pPr>
        <w:pStyle w:val="SPEC3"/>
        <w:numPr>
          <w:ilvl w:val="3"/>
          <w:numId w:val="3"/>
        </w:numPr>
      </w:pPr>
      <w:r>
        <w:t xml:space="preserve">Finished </w:t>
      </w:r>
      <w:r w:rsidRPr="008F07F7">
        <w:t xml:space="preserve">paving shall be even, without pockets, and graded to elevations shown on the </w:t>
      </w:r>
      <w:r>
        <w:t>P</w:t>
      </w:r>
      <w:r w:rsidRPr="008F07F7">
        <w:t xml:space="preserve">lans. </w:t>
      </w:r>
      <w:r>
        <w:t xml:space="preserve">Finished </w:t>
      </w:r>
      <w:r w:rsidRPr="00AB6444">
        <w:t xml:space="preserve">porous asphalt shall meet the acceptance criteria for Smoothness set forth in </w:t>
      </w:r>
      <w:r>
        <w:t>Section </w:t>
      </w:r>
      <w:r w:rsidRPr="00A23B02">
        <w:t>1.05.</w:t>
      </w:r>
      <w:r>
        <w:t>D</w:t>
      </w:r>
      <w:r w:rsidRPr="00AB6444">
        <w:t>.</w:t>
      </w:r>
    </w:p>
    <w:p w14:paraId="3E6353C2" w14:textId="77777777" w:rsidR="001D65C1" w:rsidRPr="00BE4490" w:rsidRDefault="001D65C1" w:rsidP="006C6914">
      <w:pPr>
        <w:pStyle w:val="SPECIndent2"/>
        <w:rPr>
          <w:color w:val="00B050"/>
        </w:rPr>
      </w:pPr>
      <w:r w:rsidRPr="00BE4490">
        <w:rPr>
          <w:color w:val="00B050"/>
        </w:rPr>
        <w:t>DESIGNER NOTE: Designer should specify details of the straightedge test and tolerance if different than specified in Section 1.05E.</w:t>
      </w:r>
    </w:p>
    <w:p w14:paraId="03911604" w14:textId="77777777" w:rsidR="001D65C1" w:rsidRDefault="001D65C1" w:rsidP="001D65C1">
      <w:pPr>
        <w:pStyle w:val="SPEC3"/>
        <w:numPr>
          <w:ilvl w:val="3"/>
          <w:numId w:val="3"/>
        </w:numPr>
      </w:pPr>
      <w:r>
        <w:t xml:space="preserve">The Contractor shall take </w:t>
      </w:r>
      <w:r w:rsidRPr="001B548D">
        <w:t xml:space="preserve">care to insure that the porous asphalt </w:t>
      </w:r>
      <w:r>
        <w:t>lifts join completely to previous lifts. The Contractor shall</w:t>
      </w:r>
      <w:r w:rsidRPr="001B548D">
        <w:t xml:space="preserve"> </w:t>
      </w:r>
      <w:r>
        <w:t>keep</w:t>
      </w:r>
      <w:r w:rsidRPr="001B548D">
        <w:t xml:space="preserve"> the time between l</w:t>
      </w:r>
      <w:r>
        <w:t>ift</w:t>
      </w:r>
      <w:r w:rsidRPr="001B548D">
        <w:t xml:space="preserve"> placements </w:t>
      </w:r>
      <w:r>
        <w:t>to a minimum,</w:t>
      </w:r>
      <w:r w:rsidRPr="001B548D">
        <w:t xml:space="preserve"> keeping the </w:t>
      </w:r>
      <w:r>
        <w:t>surface of the previous</w:t>
      </w:r>
      <w:r w:rsidRPr="001B548D">
        <w:t xml:space="preserve"> </w:t>
      </w:r>
      <w:r>
        <w:t>lift</w:t>
      </w:r>
      <w:r w:rsidRPr="001B548D">
        <w:t xml:space="preserve"> clear from dust and moisture</w:t>
      </w:r>
      <w:r>
        <w:t xml:space="preserve"> between lifts, </w:t>
      </w:r>
      <w:r w:rsidRPr="001B548D">
        <w:t xml:space="preserve">and </w:t>
      </w:r>
      <w:r>
        <w:t>restrict</w:t>
      </w:r>
      <w:r w:rsidRPr="001B548D">
        <w:t xml:space="preserve"> traffic </w:t>
      </w:r>
      <w:r>
        <w:t>from initial lifts until the full depth of asphalt pavement has been placed</w:t>
      </w:r>
      <w:r w:rsidRPr="001B548D">
        <w:t>.</w:t>
      </w:r>
    </w:p>
    <w:p w14:paraId="70065770" w14:textId="77777777" w:rsidR="001D65C1" w:rsidRPr="006C3A92" w:rsidRDefault="001D65C1" w:rsidP="001D65C1">
      <w:pPr>
        <w:pStyle w:val="SPEC3"/>
        <w:numPr>
          <w:ilvl w:val="3"/>
          <w:numId w:val="3"/>
        </w:numPr>
      </w:pPr>
      <w:r>
        <w:t>Sufficient time shall be</w:t>
      </w:r>
      <w:r w:rsidRPr="001B548D">
        <w:t xml:space="preserve"> allow</w:t>
      </w:r>
      <w:r>
        <w:t xml:space="preserve">ed between lifts to allow the </w:t>
      </w:r>
      <w:r w:rsidRPr="001B548D">
        <w:t>asphalt to set</w:t>
      </w:r>
      <w:r>
        <w:t xml:space="preserve"> and cool to at or below the supplier recommended maximum temperature for placement of subsequent lifts</w:t>
      </w:r>
      <w:r w:rsidRPr="001B548D">
        <w:t>.</w:t>
      </w:r>
    </w:p>
    <w:p w14:paraId="3E556889" w14:textId="77777777" w:rsidR="001D65C1" w:rsidRPr="0033721E" w:rsidRDefault="001D65C1" w:rsidP="001D65C1">
      <w:pPr>
        <w:pStyle w:val="SPEC1"/>
        <w:numPr>
          <w:ilvl w:val="1"/>
          <w:numId w:val="3"/>
        </w:numPr>
      </w:pPr>
      <w:r w:rsidRPr="0033721E">
        <w:t>OPENING TO TRAFFIC</w:t>
      </w:r>
    </w:p>
    <w:p w14:paraId="6D982B8E" w14:textId="77777777" w:rsidR="001D65C1" w:rsidRDefault="001D65C1" w:rsidP="001D65C1">
      <w:pPr>
        <w:pStyle w:val="SPEC2"/>
        <w:numPr>
          <w:ilvl w:val="2"/>
          <w:numId w:val="3"/>
        </w:numPr>
      </w:pPr>
      <w:r w:rsidRPr="000B4A5C">
        <w:t xml:space="preserve">After final rolling, no vehicular traffic of any kind shall be permitted on the </w:t>
      </w:r>
      <w:r>
        <w:t xml:space="preserve">pavement </w:t>
      </w:r>
      <w:r w:rsidRPr="000B4A5C">
        <w:t xml:space="preserve">surface until cooling and hardening has taken place, and in no case within the first six </w:t>
      </w:r>
      <w:r>
        <w:t>(6) </w:t>
      </w:r>
      <w:r w:rsidRPr="000B4A5C">
        <w:t>hours. Provide traffic control measures as necessary to prevent vehicular use</w:t>
      </w:r>
      <w:r>
        <w:t xml:space="preserve"> and </w:t>
      </w:r>
      <w:r w:rsidRPr="000B4A5C">
        <w:t>remove when no longer required.</w:t>
      </w:r>
    </w:p>
    <w:p w14:paraId="01CBD3FC" w14:textId="77777777" w:rsidR="001D65C1" w:rsidRPr="005309A6" w:rsidRDefault="001D65C1" w:rsidP="001D65C1">
      <w:pPr>
        <w:pStyle w:val="SPEC1"/>
        <w:numPr>
          <w:ilvl w:val="1"/>
          <w:numId w:val="3"/>
        </w:numPr>
      </w:pPr>
      <w:r w:rsidRPr="005309A6">
        <w:t>PROTECTION OF PAVEMENT</w:t>
      </w:r>
    </w:p>
    <w:p w14:paraId="03902585" w14:textId="77777777" w:rsidR="001D65C1" w:rsidRPr="0033721E" w:rsidRDefault="001D65C1" w:rsidP="001D65C1">
      <w:pPr>
        <w:pStyle w:val="SPEC2"/>
        <w:numPr>
          <w:ilvl w:val="2"/>
          <w:numId w:val="3"/>
        </w:numPr>
      </w:pPr>
      <w:r>
        <w:t>Hardened porous asphalt</w:t>
      </w:r>
      <w:r w:rsidRPr="005309A6">
        <w:t xml:space="preserve"> pavement surface shall be kept clean and free of clogging debris and soils from the Contractor’s operations</w:t>
      </w:r>
      <w:r>
        <w:t xml:space="preserve"> </w:t>
      </w:r>
      <w:r w:rsidRPr="00C02A1E">
        <w:t>and all upstream and adjacent debris</w:t>
      </w:r>
      <w:r w:rsidRPr="005309A6">
        <w:t>.</w:t>
      </w:r>
      <w:r>
        <w:t xml:space="preserve"> </w:t>
      </w:r>
      <w:r w:rsidRPr="005309A6">
        <w:t xml:space="preserve">If debris or soils contaminate the </w:t>
      </w:r>
      <w:r>
        <w:t>porous</w:t>
      </w:r>
      <w:r w:rsidRPr="005309A6">
        <w:t xml:space="preserve"> pavement voids, the pavement shall be cleaned at the Contractor’s expense and to the satisfaction of the Engineer.</w:t>
      </w:r>
      <w:r>
        <w:t xml:space="preserve"> </w:t>
      </w:r>
      <w:r w:rsidRPr="005309A6">
        <w:t xml:space="preserve">If </w:t>
      </w:r>
      <w:r>
        <w:t>porous</w:t>
      </w:r>
      <w:r w:rsidRPr="005309A6">
        <w:t xml:space="preserve"> </w:t>
      </w:r>
      <w:r>
        <w:t>asphalt</w:t>
      </w:r>
      <w:r w:rsidRPr="005309A6">
        <w:t xml:space="preserve"> pavement cannot be </w:t>
      </w:r>
      <w:r w:rsidRPr="005309A6">
        <w:lastRenderedPageBreak/>
        <w:t>unclogged, it shall be removed and replaced at the Contractor’s expense and to the satisfaction of the Engineer.</w:t>
      </w:r>
    </w:p>
    <w:p w14:paraId="4BFC10EC" w14:textId="77260D48" w:rsidR="001D65C1" w:rsidRDefault="000013F7" w:rsidP="001D65C1">
      <w:pPr>
        <w:pStyle w:val="SPEC1"/>
        <w:numPr>
          <w:ilvl w:val="1"/>
          <w:numId w:val="3"/>
        </w:numPr>
      </w:pPr>
      <w:r>
        <w:rPr>
          <w:caps w:val="0"/>
        </w:rPr>
        <w:t>REJECTION</w:t>
      </w:r>
    </w:p>
    <w:p w14:paraId="202201A6" w14:textId="77777777" w:rsidR="001D65C1" w:rsidRPr="004D2909" w:rsidRDefault="001D65C1" w:rsidP="001D65C1">
      <w:pPr>
        <w:pStyle w:val="SPEC2"/>
        <w:numPr>
          <w:ilvl w:val="2"/>
          <w:numId w:val="3"/>
        </w:numPr>
      </w:pPr>
      <w:r w:rsidRPr="00084A09">
        <w:t xml:space="preserve">Porous asphalt that does not meet the acceptance criteria set forth in </w:t>
      </w:r>
      <w:r>
        <w:t>Section </w:t>
      </w:r>
      <w:r w:rsidRPr="00084A09">
        <w:t>1.05.</w:t>
      </w:r>
      <w:r>
        <w:t>E will be rejected by the Engineer. Porous asphalt that has been rejected by the Engineer shall be removed and replaced at the Contractor’s expense.</w:t>
      </w:r>
    </w:p>
    <w:p w14:paraId="53A5F247" w14:textId="77777777" w:rsidR="001D65C1" w:rsidRPr="00A0037F" w:rsidRDefault="001D65C1" w:rsidP="001D65C1">
      <w:pPr>
        <w:pStyle w:val="SectionEnd"/>
      </w:pPr>
      <w:r>
        <w:t>End of Section</w:t>
      </w:r>
    </w:p>
    <w:sectPr w:rsidR="001D65C1" w:rsidRPr="00A0037F" w:rsidSect="00BA0F46">
      <w:footerReference w:type="default" r:id="rId14"/>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E804" w14:textId="77777777" w:rsidR="00CE24A9" w:rsidRDefault="00CE24A9">
      <w:pPr>
        <w:spacing w:line="20" w:lineRule="exact"/>
      </w:pPr>
    </w:p>
  </w:endnote>
  <w:endnote w:type="continuationSeparator" w:id="0">
    <w:p w14:paraId="5778403F" w14:textId="77777777" w:rsidR="00CE24A9" w:rsidRDefault="00CE24A9">
      <w:r>
        <w:t xml:space="preserve"> </w:t>
      </w:r>
    </w:p>
  </w:endnote>
  <w:endnote w:type="continuationNotice" w:id="1">
    <w:p w14:paraId="7574D86A" w14:textId="77777777" w:rsidR="00CE24A9" w:rsidRDefault="00CE24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2436" w14:textId="441A7C72" w:rsidR="00CE24A9" w:rsidRPr="004D2909" w:rsidRDefault="00431493" w:rsidP="008E795D">
    <w:pPr>
      <w:pStyle w:val="ProjectNo"/>
      <w:rPr>
        <w:rFonts w:cs="Arial"/>
        <w:szCs w:val="18"/>
      </w:rPr>
    </w:pPr>
    <w:r>
      <w:rPr>
        <w:rFonts w:cs="Arial"/>
        <w:szCs w:val="18"/>
      </w:rPr>
      <w:t xml:space="preserve">October </w:t>
    </w:r>
    <w:r w:rsidR="00A32331">
      <w:rPr>
        <w:rFonts w:cs="Arial"/>
        <w:szCs w:val="18"/>
      </w:rPr>
      <w:t>20</w:t>
    </w:r>
    <w:r w:rsidR="000013F7">
      <w:rPr>
        <w:rFonts w:cs="Arial"/>
        <w:szCs w:val="18"/>
      </w:rPr>
      <w:t>24</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sidR="003C1A53">
      <w:rPr>
        <w:rFonts w:cs="Arial"/>
        <w:noProof/>
        <w:szCs w:val="18"/>
      </w:rPr>
      <w:t>1</w:t>
    </w:r>
    <w:r w:rsidR="00CE24A9" w:rsidRPr="004D2909">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6384" w14:textId="77777777" w:rsidR="00CE24A9" w:rsidRPr="004D2909" w:rsidRDefault="00A32331" w:rsidP="00BA0F46">
    <w:pPr>
      <w:pStyle w:val="ProjectNo"/>
      <w:tabs>
        <w:tab w:val="clear" w:pos="9360"/>
        <w:tab w:val="right" w:pos="12960"/>
      </w:tabs>
      <w:rPr>
        <w:rFonts w:cs="Arial"/>
        <w:szCs w:val="18"/>
      </w:rPr>
    </w:pPr>
    <w:r>
      <w:rPr>
        <w:rFonts w:cs="Arial"/>
        <w:szCs w:val="18"/>
      </w:rPr>
      <w:t>February 2016</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sidR="003C1A53">
      <w:rPr>
        <w:rFonts w:cs="Arial"/>
        <w:noProof/>
        <w:szCs w:val="18"/>
      </w:rPr>
      <w:t>9</w:t>
    </w:r>
    <w:r w:rsidR="00CE24A9" w:rsidRPr="004D290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FAFF" w14:textId="77777777" w:rsidR="00CE24A9" w:rsidRPr="004D2909" w:rsidRDefault="00A32331" w:rsidP="008E795D">
    <w:pPr>
      <w:pStyle w:val="ProjectNo"/>
      <w:rPr>
        <w:rFonts w:cs="Arial"/>
        <w:szCs w:val="18"/>
      </w:rPr>
    </w:pPr>
    <w:r>
      <w:rPr>
        <w:rFonts w:cs="Arial"/>
        <w:szCs w:val="18"/>
      </w:rPr>
      <w:t>February 2016</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sidR="003C1A53">
      <w:rPr>
        <w:rFonts w:cs="Arial"/>
        <w:noProof/>
        <w:szCs w:val="18"/>
      </w:rPr>
      <w:t>20</w:t>
    </w:r>
    <w:r w:rsidR="00CE24A9" w:rsidRPr="004D290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77BE" w14:textId="77777777" w:rsidR="00CE24A9" w:rsidRDefault="00CE24A9">
      <w:r>
        <w:separator/>
      </w:r>
    </w:p>
  </w:footnote>
  <w:footnote w:type="continuationSeparator" w:id="0">
    <w:p w14:paraId="33557390" w14:textId="77777777" w:rsidR="00CE24A9" w:rsidRDefault="00CE24A9">
      <w:r>
        <w:continuationSeparator/>
      </w:r>
    </w:p>
  </w:footnote>
  <w:footnote w:type="continuationNotice" w:id="1">
    <w:p w14:paraId="42BBF84A" w14:textId="77777777" w:rsidR="00CE24A9" w:rsidRDefault="00CE2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F0D5" w14:textId="77777777" w:rsidR="00CE24A9" w:rsidRPr="004D2909" w:rsidRDefault="00CE24A9" w:rsidP="00DC3816">
    <w:pPr>
      <w:pStyle w:val="SectionTitle"/>
      <w:tabs>
        <w:tab w:val="left" w:pos="3214"/>
      </w:tabs>
      <w:rPr>
        <w:rFonts w:cs="Arial"/>
        <w:szCs w:val="24"/>
      </w:rPr>
    </w:pPr>
    <w:r w:rsidRPr="004D2909">
      <w:rPr>
        <w:rFonts w:cs="Arial"/>
        <w:szCs w:val="24"/>
      </w:rPr>
      <w:t>DIVISION 32 – EXTERIOR IMPROVEMENTS</w:t>
    </w:r>
  </w:p>
  <w:p w14:paraId="0904FE70" w14:textId="77777777" w:rsidR="00CE24A9" w:rsidRPr="004D2909" w:rsidRDefault="00CE24A9" w:rsidP="002A14EB">
    <w:pPr>
      <w:pStyle w:val="SectionTitle"/>
      <w:tabs>
        <w:tab w:val="left" w:pos="3214"/>
      </w:tabs>
      <w:rPr>
        <w:rFonts w:cs="Arial"/>
        <w:szCs w:val="24"/>
      </w:rPr>
    </w:pPr>
    <w:r w:rsidRPr="004D2909">
      <w:rPr>
        <w:rFonts w:cs="Arial"/>
        <w:szCs w:val="24"/>
      </w:rPr>
      <w:t>Section 32 1</w:t>
    </w:r>
    <w:r>
      <w:rPr>
        <w:rFonts w:cs="Arial"/>
        <w:szCs w:val="24"/>
      </w:rPr>
      <w:t>2</w:t>
    </w:r>
    <w:r w:rsidRPr="004D2909">
      <w:rPr>
        <w:rFonts w:cs="Arial"/>
        <w:szCs w:val="24"/>
      </w:rPr>
      <w:t xml:space="preserve"> </w:t>
    </w:r>
    <w:r>
      <w:rPr>
        <w:rFonts w:cs="Arial"/>
        <w:szCs w:val="24"/>
      </w:rPr>
      <w:t>43</w:t>
    </w:r>
    <w:r w:rsidRPr="004D2909">
      <w:rPr>
        <w:rFonts w:cs="Arial"/>
        <w:szCs w:val="24"/>
      </w:rPr>
      <w:t xml:space="preserve"> – </w:t>
    </w:r>
    <w:r>
      <w:rPr>
        <w:rFonts w:cs="Arial"/>
        <w:szCs w:val="24"/>
      </w:rPr>
      <w:t>Porous Asphalt Concrete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F48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B482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CA1C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64EA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8698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98CF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869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5E48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7434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12"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4" w15:restartNumberingAfterBreak="0">
    <w:nsid w:val="1B12410F"/>
    <w:multiLevelType w:val="hybridMultilevel"/>
    <w:tmpl w:val="4AFAADB8"/>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6"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7"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9"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1" w15:restartNumberingAfterBreak="0">
    <w:nsid w:val="6A9D4B84"/>
    <w:multiLevelType w:val="hybridMultilevel"/>
    <w:tmpl w:val="2C5080B4"/>
    <w:lvl w:ilvl="0" w:tplc="04090001">
      <w:start w:val="1"/>
      <w:numFmt w:val="bullet"/>
      <w:lvlText w:val=""/>
      <w:lvlJc w:val="left"/>
      <w:pPr>
        <w:ind w:left="2592" w:hanging="360"/>
      </w:pPr>
      <w:rPr>
        <w:rFonts w:ascii="Symbol" w:hAnsi="Symbol" w:hint="default"/>
      </w:rPr>
    </w:lvl>
    <w:lvl w:ilvl="1" w:tplc="04090001">
      <w:start w:val="1"/>
      <w:numFmt w:val="bullet"/>
      <w:lvlText w:val=""/>
      <w:lvlJc w:val="left"/>
      <w:pPr>
        <w:ind w:left="3312" w:hanging="360"/>
      </w:pPr>
      <w:rPr>
        <w:rFonts w:ascii="Symbol" w:hAnsi="Symbo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2" w15:restartNumberingAfterBreak="0">
    <w:nsid w:val="70570255"/>
    <w:multiLevelType w:val="hybridMultilevel"/>
    <w:tmpl w:val="949471F4"/>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3"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4" w15:restartNumberingAfterBreak="0">
    <w:nsid w:val="73DC1E80"/>
    <w:multiLevelType w:val="multilevel"/>
    <w:tmpl w:val="058299DC"/>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b/>
        <w:i w:val="0"/>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16cid:durableId="293873853">
    <w:abstractNumId w:val="12"/>
  </w:num>
  <w:num w:numId="2" w16cid:durableId="735712902">
    <w:abstractNumId w:val="9"/>
  </w:num>
  <w:num w:numId="3" w16cid:durableId="464200366">
    <w:abstractNumId w:val="24"/>
  </w:num>
  <w:num w:numId="4" w16cid:durableId="487405156">
    <w:abstractNumId w:val="17"/>
  </w:num>
  <w:num w:numId="5" w16cid:durableId="2011633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832730">
    <w:abstractNumId w:val="24"/>
  </w:num>
  <w:num w:numId="7" w16cid:durableId="1254585183">
    <w:abstractNumId w:val="24"/>
  </w:num>
  <w:num w:numId="8" w16cid:durableId="1597665921">
    <w:abstractNumId w:val="24"/>
  </w:num>
  <w:num w:numId="9" w16cid:durableId="2126581023">
    <w:abstractNumId w:val="24"/>
  </w:num>
  <w:num w:numId="10" w16cid:durableId="1781417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9082813">
    <w:abstractNumId w:val="24"/>
  </w:num>
  <w:num w:numId="12" w16cid:durableId="919293051">
    <w:abstractNumId w:val="18"/>
  </w:num>
  <w:num w:numId="13" w16cid:durableId="435441833">
    <w:abstractNumId w:val="19"/>
  </w:num>
  <w:num w:numId="14" w16cid:durableId="2065327870">
    <w:abstractNumId w:val="24"/>
  </w:num>
  <w:num w:numId="15" w16cid:durableId="1165822312">
    <w:abstractNumId w:val="23"/>
  </w:num>
  <w:num w:numId="16" w16cid:durableId="1070662419">
    <w:abstractNumId w:val="11"/>
  </w:num>
  <w:num w:numId="17" w16cid:durableId="1223953059">
    <w:abstractNumId w:val="24"/>
  </w:num>
  <w:num w:numId="18" w16cid:durableId="313069025">
    <w:abstractNumId w:val="24"/>
  </w:num>
  <w:num w:numId="19" w16cid:durableId="1685210935">
    <w:abstractNumId w:val="24"/>
  </w:num>
  <w:num w:numId="20" w16cid:durableId="1783332862">
    <w:abstractNumId w:val="24"/>
  </w:num>
  <w:num w:numId="21" w16cid:durableId="2073001773">
    <w:abstractNumId w:val="24"/>
  </w:num>
  <w:num w:numId="22" w16cid:durableId="119231161">
    <w:abstractNumId w:val="16"/>
  </w:num>
  <w:num w:numId="23" w16cid:durableId="1319188987">
    <w:abstractNumId w:val="24"/>
  </w:num>
  <w:num w:numId="24" w16cid:durableId="1897202283">
    <w:abstractNumId w:val="20"/>
  </w:num>
  <w:num w:numId="25" w16cid:durableId="885292300">
    <w:abstractNumId w:val="10"/>
  </w:num>
  <w:num w:numId="26" w16cid:durableId="2097558911">
    <w:abstractNumId w:val="13"/>
  </w:num>
  <w:num w:numId="27" w16cid:durableId="1557231192">
    <w:abstractNumId w:val="15"/>
  </w:num>
  <w:num w:numId="28" w16cid:durableId="1793743196">
    <w:abstractNumId w:val="24"/>
  </w:num>
  <w:num w:numId="29" w16cid:durableId="576280757">
    <w:abstractNumId w:val="24"/>
  </w:num>
  <w:num w:numId="30" w16cid:durableId="1286499377">
    <w:abstractNumId w:val="24"/>
  </w:num>
  <w:num w:numId="31" w16cid:durableId="101850863">
    <w:abstractNumId w:val="24"/>
  </w:num>
  <w:num w:numId="32" w16cid:durableId="2099977076">
    <w:abstractNumId w:val="24"/>
  </w:num>
  <w:num w:numId="33" w16cid:durableId="2051802637">
    <w:abstractNumId w:val="24"/>
  </w:num>
  <w:num w:numId="34" w16cid:durableId="726757511">
    <w:abstractNumId w:val="24"/>
  </w:num>
  <w:num w:numId="35" w16cid:durableId="2098474455">
    <w:abstractNumId w:val="24"/>
  </w:num>
  <w:num w:numId="36" w16cid:durableId="1920167317">
    <w:abstractNumId w:val="22"/>
  </w:num>
  <w:num w:numId="37" w16cid:durableId="911238601">
    <w:abstractNumId w:val="21"/>
  </w:num>
  <w:num w:numId="38" w16cid:durableId="2014380194">
    <w:abstractNumId w:val="14"/>
  </w:num>
  <w:num w:numId="39" w16cid:durableId="1524243711">
    <w:abstractNumId w:val="7"/>
  </w:num>
  <w:num w:numId="40" w16cid:durableId="185602884">
    <w:abstractNumId w:val="6"/>
  </w:num>
  <w:num w:numId="41" w16cid:durableId="212885842">
    <w:abstractNumId w:val="5"/>
  </w:num>
  <w:num w:numId="42" w16cid:durableId="1326125421">
    <w:abstractNumId w:val="4"/>
  </w:num>
  <w:num w:numId="43" w16cid:durableId="130875466">
    <w:abstractNumId w:val="8"/>
  </w:num>
  <w:num w:numId="44" w16cid:durableId="276062519">
    <w:abstractNumId w:val="3"/>
  </w:num>
  <w:num w:numId="45" w16cid:durableId="1354644842">
    <w:abstractNumId w:val="2"/>
  </w:num>
  <w:num w:numId="46" w16cid:durableId="245575482">
    <w:abstractNumId w:val="1"/>
  </w:num>
  <w:num w:numId="47" w16cid:durableId="1565068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C1"/>
    <w:rsid w:val="000003D6"/>
    <w:rsid w:val="000013F7"/>
    <w:rsid w:val="00002577"/>
    <w:rsid w:val="00002CB0"/>
    <w:rsid w:val="00002D99"/>
    <w:rsid w:val="00003511"/>
    <w:rsid w:val="00005423"/>
    <w:rsid w:val="0000716F"/>
    <w:rsid w:val="000076FA"/>
    <w:rsid w:val="000136D8"/>
    <w:rsid w:val="000150F2"/>
    <w:rsid w:val="00022E93"/>
    <w:rsid w:val="0002587D"/>
    <w:rsid w:val="00027680"/>
    <w:rsid w:val="00031F21"/>
    <w:rsid w:val="00034B3B"/>
    <w:rsid w:val="000354BA"/>
    <w:rsid w:val="000361D2"/>
    <w:rsid w:val="00036FFE"/>
    <w:rsid w:val="00037675"/>
    <w:rsid w:val="00041D42"/>
    <w:rsid w:val="00043FB2"/>
    <w:rsid w:val="00050C15"/>
    <w:rsid w:val="000521FB"/>
    <w:rsid w:val="0005584F"/>
    <w:rsid w:val="0006062B"/>
    <w:rsid w:val="00060F20"/>
    <w:rsid w:val="00060F8D"/>
    <w:rsid w:val="00062946"/>
    <w:rsid w:val="00064B81"/>
    <w:rsid w:val="000654A5"/>
    <w:rsid w:val="00075A3E"/>
    <w:rsid w:val="00076644"/>
    <w:rsid w:val="00076810"/>
    <w:rsid w:val="00076C16"/>
    <w:rsid w:val="000814BE"/>
    <w:rsid w:val="00082B8A"/>
    <w:rsid w:val="00084A36"/>
    <w:rsid w:val="0008654D"/>
    <w:rsid w:val="00090EFC"/>
    <w:rsid w:val="000918A9"/>
    <w:rsid w:val="0009193D"/>
    <w:rsid w:val="00091BE9"/>
    <w:rsid w:val="0009230D"/>
    <w:rsid w:val="00092C7C"/>
    <w:rsid w:val="00094A86"/>
    <w:rsid w:val="0009631A"/>
    <w:rsid w:val="000A0CE8"/>
    <w:rsid w:val="000A33D6"/>
    <w:rsid w:val="000A41F4"/>
    <w:rsid w:val="000A6336"/>
    <w:rsid w:val="000B3EC9"/>
    <w:rsid w:val="000B74ED"/>
    <w:rsid w:val="000C4136"/>
    <w:rsid w:val="000D0033"/>
    <w:rsid w:val="000D1030"/>
    <w:rsid w:val="000D6552"/>
    <w:rsid w:val="000D7742"/>
    <w:rsid w:val="000E01FB"/>
    <w:rsid w:val="000E0425"/>
    <w:rsid w:val="000E07F8"/>
    <w:rsid w:val="000E0E70"/>
    <w:rsid w:val="000E10E4"/>
    <w:rsid w:val="000E2A44"/>
    <w:rsid w:val="000E33E8"/>
    <w:rsid w:val="000E47EB"/>
    <w:rsid w:val="000E4D9D"/>
    <w:rsid w:val="000F5236"/>
    <w:rsid w:val="000F6EEA"/>
    <w:rsid w:val="00100041"/>
    <w:rsid w:val="0010216D"/>
    <w:rsid w:val="001040BF"/>
    <w:rsid w:val="00111A1A"/>
    <w:rsid w:val="00112397"/>
    <w:rsid w:val="001176D0"/>
    <w:rsid w:val="001200A8"/>
    <w:rsid w:val="001236DC"/>
    <w:rsid w:val="00123918"/>
    <w:rsid w:val="001247E0"/>
    <w:rsid w:val="00124C43"/>
    <w:rsid w:val="001251E9"/>
    <w:rsid w:val="00125C86"/>
    <w:rsid w:val="00126CE4"/>
    <w:rsid w:val="0013076E"/>
    <w:rsid w:val="00131823"/>
    <w:rsid w:val="001352AD"/>
    <w:rsid w:val="00135354"/>
    <w:rsid w:val="00136EC1"/>
    <w:rsid w:val="001374D5"/>
    <w:rsid w:val="0014245F"/>
    <w:rsid w:val="00150E8E"/>
    <w:rsid w:val="001515E3"/>
    <w:rsid w:val="00152814"/>
    <w:rsid w:val="00153EC7"/>
    <w:rsid w:val="00156FD5"/>
    <w:rsid w:val="0016053A"/>
    <w:rsid w:val="00161029"/>
    <w:rsid w:val="001610A3"/>
    <w:rsid w:val="0016127D"/>
    <w:rsid w:val="0016472B"/>
    <w:rsid w:val="00166ACC"/>
    <w:rsid w:val="00167EC7"/>
    <w:rsid w:val="00171D64"/>
    <w:rsid w:val="001725AE"/>
    <w:rsid w:val="00172856"/>
    <w:rsid w:val="001742D4"/>
    <w:rsid w:val="001805F0"/>
    <w:rsid w:val="001823C0"/>
    <w:rsid w:val="001905E6"/>
    <w:rsid w:val="00193160"/>
    <w:rsid w:val="0019772D"/>
    <w:rsid w:val="001A0FF3"/>
    <w:rsid w:val="001A1770"/>
    <w:rsid w:val="001A64A5"/>
    <w:rsid w:val="001A6999"/>
    <w:rsid w:val="001A7DE3"/>
    <w:rsid w:val="001B1159"/>
    <w:rsid w:val="001B6CC7"/>
    <w:rsid w:val="001B7E96"/>
    <w:rsid w:val="001C134A"/>
    <w:rsid w:val="001C45F8"/>
    <w:rsid w:val="001C4AB5"/>
    <w:rsid w:val="001D4722"/>
    <w:rsid w:val="001D4B1F"/>
    <w:rsid w:val="001D65C1"/>
    <w:rsid w:val="001E1E96"/>
    <w:rsid w:val="001E2630"/>
    <w:rsid w:val="001E5601"/>
    <w:rsid w:val="001F66EC"/>
    <w:rsid w:val="001F7285"/>
    <w:rsid w:val="00200FCF"/>
    <w:rsid w:val="00201109"/>
    <w:rsid w:val="002054FA"/>
    <w:rsid w:val="002068EE"/>
    <w:rsid w:val="00207A22"/>
    <w:rsid w:val="00210481"/>
    <w:rsid w:val="00211A8A"/>
    <w:rsid w:val="002126A4"/>
    <w:rsid w:val="002141AB"/>
    <w:rsid w:val="00215226"/>
    <w:rsid w:val="002154D9"/>
    <w:rsid w:val="00215C41"/>
    <w:rsid w:val="00216B62"/>
    <w:rsid w:val="00216F0E"/>
    <w:rsid w:val="002205C5"/>
    <w:rsid w:val="0022440D"/>
    <w:rsid w:val="00225364"/>
    <w:rsid w:val="00230A47"/>
    <w:rsid w:val="002317AC"/>
    <w:rsid w:val="00231A2D"/>
    <w:rsid w:val="00231B07"/>
    <w:rsid w:val="00232238"/>
    <w:rsid w:val="00234460"/>
    <w:rsid w:val="00240073"/>
    <w:rsid w:val="0024099C"/>
    <w:rsid w:val="00240A71"/>
    <w:rsid w:val="002439EB"/>
    <w:rsid w:val="002447ED"/>
    <w:rsid w:val="00246887"/>
    <w:rsid w:val="00254669"/>
    <w:rsid w:val="00254BD7"/>
    <w:rsid w:val="00255350"/>
    <w:rsid w:val="00256CE8"/>
    <w:rsid w:val="00256E53"/>
    <w:rsid w:val="002605D8"/>
    <w:rsid w:val="002606DF"/>
    <w:rsid w:val="00260C8F"/>
    <w:rsid w:val="0026202F"/>
    <w:rsid w:val="0026251E"/>
    <w:rsid w:val="0026726F"/>
    <w:rsid w:val="00267CA3"/>
    <w:rsid w:val="002708DB"/>
    <w:rsid w:val="00272018"/>
    <w:rsid w:val="00272839"/>
    <w:rsid w:val="002736CF"/>
    <w:rsid w:val="0027493E"/>
    <w:rsid w:val="00276C22"/>
    <w:rsid w:val="00280EF9"/>
    <w:rsid w:val="00281053"/>
    <w:rsid w:val="00283539"/>
    <w:rsid w:val="00285616"/>
    <w:rsid w:val="0028657C"/>
    <w:rsid w:val="00286C39"/>
    <w:rsid w:val="00291BA5"/>
    <w:rsid w:val="00295520"/>
    <w:rsid w:val="002961EE"/>
    <w:rsid w:val="002A14EB"/>
    <w:rsid w:val="002A535D"/>
    <w:rsid w:val="002B56E3"/>
    <w:rsid w:val="002B7C3A"/>
    <w:rsid w:val="002C0DE6"/>
    <w:rsid w:val="002C1026"/>
    <w:rsid w:val="002D249B"/>
    <w:rsid w:val="002D66CF"/>
    <w:rsid w:val="002E44BF"/>
    <w:rsid w:val="002E4752"/>
    <w:rsid w:val="002F1466"/>
    <w:rsid w:val="002F1F48"/>
    <w:rsid w:val="002F267D"/>
    <w:rsid w:val="00302FFE"/>
    <w:rsid w:val="00310ED3"/>
    <w:rsid w:val="0031152A"/>
    <w:rsid w:val="00312E39"/>
    <w:rsid w:val="003132B7"/>
    <w:rsid w:val="003162CC"/>
    <w:rsid w:val="0032054B"/>
    <w:rsid w:val="00321429"/>
    <w:rsid w:val="00322378"/>
    <w:rsid w:val="00325103"/>
    <w:rsid w:val="003261A4"/>
    <w:rsid w:val="00327C9C"/>
    <w:rsid w:val="00334411"/>
    <w:rsid w:val="00341819"/>
    <w:rsid w:val="003423DD"/>
    <w:rsid w:val="003444B4"/>
    <w:rsid w:val="00350954"/>
    <w:rsid w:val="00350DA2"/>
    <w:rsid w:val="00352003"/>
    <w:rsid w:val="003531F3"/>
    <w:rsid w:val="00354BEF"/>
    <w:rsid w:val="00356B81"/>
    <w:rsid w:val="00356D1B"/>
    <w:rsid w:val="00357531"/>
    <w:rsid w:val="00361DD3"/>
    <w:rsid w:val="00361F31"/>
    <w:rsid w:val="00371DCC"/>
    <w:rsid w:val="00377501"/>
    <w:rsid w:val="00377D04"/>
    <w:rsid w:val="0038388F"/>
    <w:rsid w:val="003841BC"/>
    <w:rsid w:val="003846F7"/>
    <w:rsid w:val="0039162A"/>
    <w:rsid w:val="0039279D"/>
    <w:rsid w:val="003A180D"/>
    <w:rsid w:val="003A19F7"/>
    <w:rsid w:val="003A60A2"/>
    <w:rsid w:val="003A60C9"/>
    <w:rsid w:val="003B363A"/>
    <w:rsid w:val="003B37C0"/>
    <w:rsid w:val="003B6A82"/>
    <w:rsid w:val="003B6B4D"/>
    <w:rsid w:val="003B7776"/>
    <w:rsid w:val="003C026A"/>
    <w:rsid w:val="003C1A53"/>
    <w:rsid w:val="003C4E93"/>
    <w:rsid w:val="003D3C21"/>
    <w:rsid w:val="003D4AD5"/>
    <w:rsid w:val="003D5DAC"/>
    <w:rsid w:val="003D6E1F"/>
    <w:rsid w:val="003D7017"/>
    <w:rsid w:val="003E17E1"/>
    <w:rsid w:val="003E3337"/>
    <w:rsid w:val="003E347B"/>
    <w:rsid w:val="003E6275"/>
    <w:rsid w:val="003E7BCD"/>
    <w:rsid w:val="003F109C"/>
    <w:rsid w:val="003F2B5A"/>
    <w:rsid w:val="00403C2C"/>
    <w:rsid w:val="00407E96"/>
    <w:rsid w:val="00413C4A"/>
    <w:rsid w:val="00416BFB"/>
    <w:rsid w:val="004175B9"/>
    <w:rsid w:val="00423D5B"/>
    <w:rsid w:val="004243E6"/>
    <w:rsid w:val="00430105"/>
    <w:rsid w:val="00430A6E"/>
    <w:rsid w:val="00431493"/>
    <w:rsid w:val="00432B9E"/>
    <w:rsid w:val="004333CB"/>
    <w:rsid w:val="0043405F"/>
    <w:rsid w:val="00436253"/>
    <w:rsid w:val="004365F6"/>
    <w:rsid w:val="00437592"/>
    <w:rsid w:val="00437E96"/>
    <w:rsid w:val="004410C5"/>
    <w:rsid w:val="00441102"/>
    <w:rsid w:val="00441A9E"/>
    <w:rsid w:val="004504EB"/>
    <w:rsid w:val="00450CB5"/>
    <w:rsid w:val="00455017"/>
    <w:rsid w:val="00464941"/>
    <w:rsid w:val="00470254"/>
    <w:rsid w:val="004715D2"/>
    <w:rsid w:val="00472197"/>
    <w:rsid w:val="00490BC8"/>
    <w:rsid w:val="00492BA6"/>
    <w:rsid w:val="00492FB0"/>
    <w:rsid w:val="00495DDB"/>
    <w:rsid w:val="00497BD6"/>
    <w:rsid w:val="004A082C"/>
    <w:rsid w:val="004A0BF3"/>
    <w:rsid w:val="004A3170"/>
    <w:rsid w:val="004A3C15"/>
    <w:rsid w:val="004A4D18"/>
    <w:rsid w:val="004A4FEA"/>
    <w:rsid w:val="004B1BFC"/>
    <w:rsid w:val="004B4FF2"/>
    <w:rsid w:val="004B7D88"/>
    <w:rsid w:val="004B7E55"/>
    <w:rsid w:val="004C331A"/>
    <w:rsid w:val="004C565C"/>
    <w:rsid w:val="004D2909"/>
    <w:rsid w:val="004D4D88"/>
    <w:rsid w:val="004D737E"/>
    <w:rsid w:val="004E2C9A"/>
    <w:rsid w:val="004E4AA1"/>
    <w:rsid w:val="004E6767"/>
    <w:rsid w:val="004F3D5F"/>
    <w:rsid w:val="0050268A"/>
    <w:rsid w:val="00503555"/>
    <w:rsid w:val="00506450"/>
    <w:rsid w:val="00506B0A"/>
    <w:rsid w:val="00507FFC"/>
    <w:rsid w:val="00510290"/>
    <w:rsid w:val="005105E1"/>
    <w:rsid w:val="00512279"/>
    <w:rsid w:val="005207C3"/>
    <w:rsid w:val="00526AFC"/>
    <w:rsid w:val="00530D53"/>
    <w:rsid w:val="0053380D"/>
    <w:rsid w:val="005353B7"/>
    <w:rsid w:val="005439F2"/>
    <w:rsid w:val="00544853"/>
    <w:rsid w:val="00544999"/>
    <w:rsid w:val="00546030"/>
    <w:rsid w:val="0054714B"/>
    <w:rsid w:val="0055033A"/>
    <w:rsid w:val="005516D3"/>
    <w:rsid w:val="00562EE7"/>
    <w:rsid w:val="005636D8"/>
    <w:rsid w:val="00565DE9"/>
    <w:rsid w:val="005662D8"/>
    <w:rsid w:val="00567E87"/>
    <w:rsid w:val="00570205"/>
    <w:rsid w:val="00581F9D"/>
    <w:rsid w:val="0058244D"/>
    <w:rsid w:val="00586D04"/>
    <w:rsid w:val="005934B2"/>
    <w:rsid w:val="0059390E"/>
    <w:rsid w:val="00594851"/>
    <w:rsid w:val="00595862"/>
    <w:rsid w:val="0059779A"/>
    <w:rsid w:val="005A3E86"/>
    <w:rsid w:val="005A5E7A"/>
    <w:rsid w:val="005A6593"/>
    <w:rsid w:val="005A6A51"/>
    <w:rsid w:val="005A7AB1"/>
    <w:rsid w:val="005B1002"/>
    <w:rsid w:val="005B28D4"/>
    <w:rsid w:val="005B3195"/>
    <w:rsid w:val="005C290F"/>
    <w:rsid w:val="005C69D8"/>
    <w:rsid w:val="005C6BD9"/>
    <w:rsid w:val="005C7098"/>
    <w:rsid w:val="005D2516"/>
    <w:rsid w:val="005D79CF"/>
    <w:rsid w:val="005E0C45"/>
    <w:rsid w:val="005E184C"/>
    <w:rsid w:val="005E34C5"/>
    <w:rsid w:val="005E56D4"/>
    <w:rsid w:val="005E6767"/>
    <w:rsid w:val="005E68EE"/>
    <w:rsid w:val="005F1B0F"/>
    <w:rsid w:val="005F3E3F"/>
    <w:rsid w:val="005F55A6"/>
    <w:rsid w:val="005F669A"/>
    <w:rsid w:val="005F745C"/>
    <w:rsid w:val="00602141"/>
    <w:rsid w:val="0060479F"/>
    <w:rsid w:val="006055EB"/>
    <w:rsid w:val="006111EB"/>
    <w:rsid w:val="00613A3F"/>
    <w:rsid w:val="0061405D"/>
    <w:rsid w:val="00614CD7"/>
    <w:rsid w:val="0062034F"/>
    <w:rsid w:val="00622DDF"/>
    <w:rsid w:val="0062406E"/>
    <w:rsid w:val="0062449F"/>
    <w:rsid w:val="00624B2E"/>
    <w:rsid w:val="006253C4"/>
    <w:rsid w:val="006307EC"/>
    <w:rsid w:val="00632A39"/>
    <w:rsid w:val="00634F8F"/>
    <w:rsid w:val="00636842"/>
    <w:rsid w:val="00640E46"/>
    <w:rsid w:val="00640FA7"/>
    <w:rsid w:val="00645639"/>
    <w:rsid w:val="00657B97"/>
    <w:rsid w:val="00663081"/>
    <w:rsid w:val="00666EB8"/>
    <w:rsid w:val="00672755"/>
    <w:rsid w:val="00672D10"/>
    <w:rsid w:val="00675B82"/>
    <w:rsid w:val="00675BEB"/>
    <w:rsid w:val="00680893"/>
    <w:rsid w:val="00684DDE"/>
    <w:rsid w:val="006A337B"/>
    <w:rsid w:val="006A4A3F"/>
    <w:rsid w:val="006B1C35"/>
    <w:rsid w:val="006B5E43"/>
    <w:rsid w:val="006B71FA"/>
    <w:rsid w:val="006B77A9"/>
    <w:rsid w:val="006C0FFA"/>
    <w:rsid w:val="006C11F8"/>
    <w:rsid w:val="006C159F"/>
    <w:rsid w:val="006C6914"/>
    <w:rsid w:val="006D14A1"/>
    <w:rsid w:val="006D45C9"/>
    <w:rsid w:val="006D51F5"/>
    <w:rsid w:val="006E2C11"/>
    <w:rsid w:val="006E49EF"/>
    <w:rsid w:val="006F0C78"/>
    <w:rsid w:val="006F126B"/>
    <w:rsid w:val="006F2091"/>
    <w:rsid w:val="006F6B41"/>
    <w:rsid w:val="00700124"/>
    <w:rsid w:val="00700E6C"/>
    <w:rsid w:val="007020D1"/>
    <w:rsid w:val="00705E99"/>
    <w:rsid w:val="007072EB"/>
    <w:rsid w:val="007106AC"/>
    <w:rsid w:val="00711267"/>
    <w:rsid w:val="00712ACD"/>
    <w:rsid w:val="0071411E"/>
    <w:rsid w:val="007147EA"/>
    <w:rsid w:val="007154E6"/>
    <w:rsid w:val="007156E8"/>
    <w:rsid w:val="00715F8F"/>
    <w:rsid w:val="00717CD7"/>
    <w:rsid w:val="00720F45"/>
    <w:rsid w:val="00722D10"/>
    <w:rsid w:val="00725978"/>
    <w:rsid w:val="007267FB"/>
    <w:rsid w:val="00730701"/>
    <w:rsid w:val="00733509"/>
    <w:rsid w:val="007336C9"/>
    <w:rsid w:val="007351A8"/>
    <w:rsid w:val="007413C0"/>
    <w:rsid w:val="007437F7"/>
    <w:rsid w:val="007443FA"/>
    <w:rsid w:val="007462BB"/>
    <w:rsid w:val="00746524"/>
    <w:rsid w:val="007470F6"/>
    <w:rsid w:val="007473FE"/>
    <w:rsid w:val="00747F08"/>
    <w:rsid w:val="007504F7"/>
    <w:rsid w:val="00756F62"/>
    <w:rsid w:val="007573EA"/>
    <w:rsid w:val="007666CB"/>
    <w:rsid w:val="00766BBF"/>
    <w:rsid w:val="00767EB8"/>
    <w:rsid w:val="007708DC"/>
    <w:rsid w:val="00776D74"/>
    <w:rsid w:val="007854B0"/>
    <w:rsid w:val="00793FEF"/>
    <w:rsid w:val="007A1D59"/>
    <w:rsid w:val="007A32FD"/>
    <w:rsid w:val="007B0AB3"/>
    <w:rsid w:val="007C2947"/>
    <w:rsid w:val="007C37B5"/>
    <w:rsid w:val="007C47C4"/>
    <w:rsid w:val="007C69E1"/>
    <w:rsid w:val="007C7B4C"/>
    <w:rsid w:val="007D1C5B"/>
    <w:rsid w:val="007D3D81"/>
    <w:rsid w:val="007D6B54"/>
    <w:rsid w:val="007E0F70"/>
    <w:rsid w:val="007E19C0"/>
    <w:rsid w:val="007E3747"/>
    <w:rsid w:val="007E5B5E"/>
    <w:rsid w:val="007E6C7D"/>
    <w:rsid w:val="007F0ED6"/>
    <w:rsid w:val="007F181B"/>
    <w:rsid w:val="007F333A"/>
    <w:rsid w:val="007F3911"/>
    <w:rsid w:val="007F3A5B"/>
    <w:rsid w:val="007F750C"/>
    <w:rsid w:val="008032C1"/>
    <w:rsid w:val="00806F58"/>
    <w:rsid w:val="00807F10"/>
    <w:rsid w:val="008107B9"/>
    <w:rsid w:val="0081225A"/>
    <w:rsid w:val="00813F06"/>
    <w:rsid w:val="008233B3"/>
    <w:rsid w:val="008273A1"/>
    <w:rsid w:val="0083127B"/>
    <w:rsid w:val="00831B96"/>
    <w:rsid w:val="008370F8"/>
    <w:rsid w:val="00837FC6"/>
    <w:rsid w:val="00841B98"/>
    <w:rsid w:val="00842FF4"/>
    <w:rsid w:val="00845A1C"/>
    <w:rsid w:val="008475AF"/>
    <w:rsid w:val="00851050"/>
    <w:rsid w:val="00854BAF"/>
    <w:rsid w:val="008558D8"/>
    <w:rsid w:val="0086042D"/>
    <w:rsid w:val="00861F4E"/>
    <w:rsid w:val="0086205E"/>
    <w:rsid w:val="0086472A"/>
    <w:rsid w:val="00864BFC"/>
    <w:rsid w:val="0086565D"/>
    <w:rsid w:val="008705DA"/>
    <w:rsid w:val="00871444"/>
    <w:rsid w:val="0087236D"/>
    <w:rsid w:val="00875B80"/>
    <w:rsid w:val="008805CE"/>
    <w:rsid w:val="0088122E"/>
    <w:rsid w:val="0088123A"/>
    <w:rsid w:val="0088369C"/>
    <w:rsid w:val="008848EB"/>
    <w:rsid w:val="00885943"/>
    <w:rsid w:val="008903CA"/>
    <w:rsid w:val="0089146A"/>
    <w:rsid w:val="00891A9E"/>
    <w:rsid w:val="00892FDC"/>
    <w:rsid w:val="008A0584"/>
    <w:rsid w:val="008A5CBD"/>
    <w:rsid w:val="008B2ECF"/>
    <w:rsid w:val="008C1B45"/>
    <w:rsid w:val="008C21F5"/>
    <w:rsid w:val="008C53F5"/>
    <w:rsid w:val="008D03D6"/>
    <w:rsid w:val="008D3EF4"/>
    <w:rsid w:val="008D55B9"/>
    <w:rsid w:val="008E4388"/>
    <w:rsid w:val="008E795D"/>
    <w:rsid w:val="008F2C33"/>
    <w:rsid w:val="008F4B3B"/>
    <w:rsid w:val="008F5DCB"/>
    <w:rsid w:val="008F5F79"/>
    <w:rsid w:val="008F6315"/>
    <w:rsid w:val="008F6E13"/>
    <w:rsid w:val="009003A4"/>
    <w:rsid w:val="00900458"/>
    <w:rsid w:val="009030EE"/>
    <w:rsid w:val="00911CFA"/>
    <w:rsid w:val="00912B53"/>
    <w:rsid w:val="009141F5"/>
    <w:rsid w:val="00914F72"/>
    <w:rsid w:val="00916D84"/>
    <w:rsid w:val="00922C97"/>
    <w:rsid w:val="00923A8A"/>
    <w:rsid w:val="00924140"/>
    <w:rsid w:val="0092650B"/>
    <w:rsid w:val="0092759E"/>
    <w:rsid w:val="0092787E"/>
    <w:rsid w:val="00933A45"/>
    <w:rsid w:val="00934C75"/>
    <w:rsid w:val="00934F4B"/>
    <w:rsid w:val="009359F1"/>
    <w:rsid w:val="00942804"/>
    <w:rsid w:val="00943007"/>
    <w:rsid w:val="00943024"/>
    <w:rsid w:val="009437ED"/>
    <w:rsid w:val="00946DBE"/>
    <w:rsid w:val="00947E81"/>
    <w:rsid w:val="0095120A"/>
    <w:rsid w:val="009535AA"/>
    <w:rsid w:val="009551B1"/>
    <w:rsid w:val="00955A66"/>
    <w:rsid w:val="00955E08"/>
    <w:rsid w:val="00962631"/>
    <w:rsid w:val="00966D4F"/>
    <w:rsid w:val="009761B9"/>
    <w:rsid w:val="009761CC"/>
    <w:rsid w:val="00976942"/>
    <w:rsid w:val="00977812"/>
    <w:rsid w:val="0098128A"/>
    <w:rsid w:val="00985A4C"/>
    <w:rsid w:val="00991DB9"/>
    <w:rsid w:val="0099770D"/>
    <w:rsid w:val="00997A80"/>
    <w:rsid w:val="009A48CD"/>
    <w:rsid w:val="009A57C8"/>
    <w:rsid w:val="009A5823"/>
    <w:rsid w:val="009A599D"/>
    <w:rsid w:val="009B0A7A"/>
    <w:rsid w:val="009B0EFB"/>
    <w:rsid w:val="009C0353"/>
    <w:rsid w:val="009C086B"/>
    <w:rsid w:val="009C5705"/>
    <w:rsid w:val="009D0564"/>
    <w:rsid w:val="009D0EFF"/>
    <w:rsid w:val="009D699D"/>
    <w:rsid w:val="009E107F"/>
    <w:rsid w:val="009F2FBE"/>
    <w:rsid w:val="009F4E69"/>
    <w:rsid w:val="009F6203"/>
    <w:rsid w:val="00A0037F"/>
    <w:rsid w:val="00A05C2B"/>
    <w:rsid w:val="00A05E0C"/>
    <w:rsid w:val="00A062E4"/>
    <w:rsid w:val="00A1092F"/>
    <w:rsid w:val="00A1258A"/>
    <w:rsid w:val="00A17600"/>
    <w:rsid w:val="00A23B32"/>
    <w:rsid w:val="00A258E5"/>
    <w:rsid w:val="00A265FC"/>
    <w:rsid w:val="00A30A49"/>
    <w:rsid w:val="00A32331"/>
    <w:rsid w:val="00A32E32"/>
    <w:rsid w:val="00A334AF"/>
    <w:rsid w:val="00A40B86"/>
    <w:rsid w:val="00A41193"/>
    <w:rsid w:val="00A43012"/>
    <w:rsid w:val="00A46F5E"/>
    <w:rsid w:val="00A476F9"/>
    <w:rsid w:val="00A50F9E"/>
    <w:rsid w:val="00A53A37"/>
    <w:rsid w:val="00A61F4E"/>
    <w:rsid w:val="00A743C3"/>
    <w:rsid w:val="00A84367"/>
    <w:rsid w:val="00A8504E"/>
    <w:rsid w:val="00A878B4"/>
    <w:rsid w:val="00A90C79"/>
    <w:rsid w:val="00A95178"/>
    <w:rsid w:val="00A95F8A"/>
    <w:rsid w:val="00A975F5"/>
    <w:rsid w:val="00AA0C99"/>
    <w:rsid w:val="00AA11D4"/>
    <w:rsid w:val="00AA22C7"/>
    <w:rsid w:val="00AA390E"/>
    <w:rsid w:val="00AA55BC"/>
    <w:rsid w:val="00AA7E46"/>
    <w:rsid w:val="00AB0D64"/>
    <w:rsid w:val="00AB493A"/>
    <w:rsid w:val="00AB5F68"/>
    <w:rsid w:val="00AC137B"/>
    <w:rsid w:val="00AC2190"/>
    <w:rsid w:val="00AC2BC2"/>
    <w:rsid w:val="00AC2D68"/>
    <w:rsid w:val="00AC4BA4"/>
    <w:rsid w:val="00AC7290"/>
    <w:rsid w:val="00AC7B1A"/>
    <w:rsid w:val="00AD47A6"/>
    <w:rsid w:val="00AD741B"/>
    <w:rsid w:val="00AD7C8E"/>
    <w:rsid w:val="00AE0FCB"/>
    <w:rsid w:val="00AE1EEA"/>
    <w:rsid w:val="00AE22F8"/>
    <w:rsid w:val="00AE3917"/>
    <w:rsid w:val="00AE4D09"/>
    <w:rsid w:val="00AE6EF7"/>
    <w:rsid w:val="00AF2898"/>
    <w:rsid w:val="00AF3FE3"/>
    <w:rsid w:val="00AF5B35"/>
    <w:rsid w:val="00AF660D"/>
    <w:rsid w:val="00AF6913"/>
    <w:rsid w:val="00AF703F"/>
    <w:rsid w:val="00B000BE"/>
    <w:rsid w:val="00B06F02"/>
    <w:rsid w:val="00B15BE9"/>
    <w:rsid w:val="00B2247E"/>
    <w:rsid w:val="00B23CDF"/>
    <w:rsid w:val="00B2469B"/>
    <w:rsid w:val="00B267D9"/>
    <w:rsid w:val="00B27FD1"/>
    <w:rsid w:val="00B3194A"/>
    <w:rsid w:val="00B33A84"/>
    <w:rsid w:val="00B430E8"/>
    <w:rsid w:val="00B511D7"/>
    <w:rsid w:val="00B51364"/>
    <w:rsid w:val="00B60688"/>
    <w:rsid w:val="00B61907"/>
    <w:rsid w:val="00B62250"/>
    <w:rsid w:val="00B62598"/>
    <w:rsid w:val="00B713E2"/>
    <w:rsid w:val="00B72623"/>
    <w:rsid w:val="00B76AD5"/>
    <w:rsid w:val="00B829B9"/>
    <w:rsid w:val="00B84E88"/>
    <w:rsid w:val="00B90AD4"/>
    <w:rsid w:val="00B91ED4"/>
    <w:rsid w:val="00B91F9C"/>
    <w:rsid w:val="00B95FD6"/>
    <w:rsid w:val="00B967D7"/>
    <w:rsid w:val="00BA0F46"/>
    <w:rsid w:val="00BA38C6"/>
    <w:rsid w:val="00BA40EC"/>
    <w:rsid w:val="00BA4BE9"/>
    <w:rsid w:val="00BB0178"/>
    <w:rsid w:val="00BB15A9"/>
    <w:rsid w:val="00BB16DC"/>
    <w:rsid w:val="00BB2F01"/>
    <w:rsid w:val="00BB33B6"/>
    <w:rsid w:val="00BC2F94"/>
    <w:rsid w:val="00BC3AA1"/>
    <w:rsid w:val="00BC40C7"/>
    <w:rsid w:val="00BC6590"/>
    <w:rsid w:val="00BC7EB3"/>
    <w:rsid w:val="00BD220A"/>
    <w:rsid w:val="00BD27B5"/>
    <w:rsid w:val="00BD3855"/>
    <w:rsid w:val="00BD42B1"/>
    <w:rsid w:val="00BD432C"/>
    <w:rsid w:val="00BD5FB4"/>
    <w:rsid w:val="00BD6F3B"/>
    <w:rsid w:val="00BE1407"/>
    <w:rsid w:val="00BE2D18"/>
    <w:rsid w:val="00BE3DFF"/>
    <w:rsid w:val="00BF29BA"/>
    <w:rsid w:val="00BF47E0"/>
    <w:rsid w:val="00BF5DD8"/>
    <w:rsid w:val="00BF6351"/>
    <w:rsid w:val="00C0023C"/>
    <w:rsid w:val="00C03C72"/>
    <w:rsid w:val="00C07108"/>
    <w:rsid w:val="00C07CAB"/>
    <w:rsid w:val="00C10544"/>
    <w:rsid w:val="00C10798"/>
    <w:rsid w:val="00C13428"/>
    <w:rsid w:val="00C1462E"/>
    <w:rsid w:val="00C159C0"/>
    <w:rsid w:val="00C16DA8"/>
    <w:rsid w:val="00C1737A"/>
    <w:rsid w:val="00C2153E"/>
    <w:rsid w:val="00C2213C"/>
    <w:rsid w:val="00C22A36"/>
    <w:rsid w:val="00C252B4"/>
    <w:rsid w:val="00C3050B"/>
    <w:rsid w:val="00C31256"/>
    <w:rsid w:val="00C32FC5"/>
    <w:rsid w:val="00C33ECA"/>
    <w:rsid w:val="00C411B7"/>
    <w:rsid w:val="00C42B0B"/>
    <w:rsid w:val="00C43537"/>
    <w:rsid w:val="00C43CC1"/>
    <w:rsid w:val="00C4413D"/>
    <w:rsid w:val="00C45970"/>
    <w:rsid w:val="00C47868"/>
    <w:rsid w:val="00C50425"/>
    <w:rsid w:val="00C53A5B"/>
    <w:rsid w:val="00C57E68"/>
    <w:rsid w:val="00C65875"/>
    <w:rsid w:val="00C66EF7"/>
    <w:rsid w:val="00C67768"/>
    <w:rsid w:val="00C730E0"/>
    <w:rsid w:val="00C7347F"/>
    <w:rsid w:val="00C736E1"/>
    <w:rsid w:val="00C830D8"/>
    <w:rsid w:val="00C850C0"/>
    <w:rsid w:val="00C86600"/>
    <w:rsid w:val="00C86DEA"/>
    <w:rsid w:val="00C87394"/>
    <w:rsid w:val="00C90443"/>
    <w:rsid w:val="00C914C0"/>
    <w:rsid w:val="00C9234F"/>
    <w:rsid w:val="00C92476"/>
    <w:rsid w:val="00C93AFB"/>
    <w:rsid w:val="00CA6D9B"/>
    <w:rsid w:val="00CB18F3"/>
    <w:rsid w:val="00CB4ED7"/>
    <w:rsid w:val="00CB4F76"/>
    <w:rsid w:val="00CB7AB2"/>
    <w:rsid w:val="00CC1B27"/>
    <w:rsid w:val="00CC22F5"/>
    <w:rsid w:val="00CC76A7"/>
    <w:rsid w:val="00CC7898"/>
    <w:rsid w:val="00CD14F5"/>
    <w:rsid w:val="00CD4C60"/>
    <w:rsid w:val="00CD5EBB"/>
    <w:rsid w:val="00CD685B"/>
    <w:rsid w:val="00CD7B38"/>
    <w:rsid w:val="00CE24A9"/>
    <w:rsid w:val="00CE4183"/>
    <w:rsid w:val="00CE42A0"/>
    <w:rsid w:val="00CE6874"/>
    <w:rsid w:val="00CE6C0D"/>
    <w:rsid w:val="00CF0D7F"/>
    <w:rsid w:val="00CF2532"/>
    <w:rsid w:val="00CF387B"/>
    <w:rsid w:val="00CF6C73"/>
    <w:rsid w:val="00CF7347"/>
    <w:rsid w:val="00D008E1"/>
    <w:rsid w:val="00D01605"/>
    <w:rsid w:val="00D02356"/>
    <w:rsid w:val="00D02BE3"/>
    <w:rsid w:val="00D037EA"/>
    <w:rsid w:val="00D1386E"/>
    <w:rsid w:val="00D14340"/>
    <w:rsid w:val="00D15CEC"/>
    <w:rsid w:val="00D20C4F"/>
    <w:rsid w:val="00D277F0"/>
    <w:rsid w:val="00D3063B"/>
    <w:rsid w:val="00D3070A"/>
    <w:rsid w:val="00D3271F"/>
    <w:rsid w:val="00D330A3"/>
    <w:rsid w:val="00D330F0"/>
    <w:rsid w:val="00D33191"/>
    <w:rsid w:val="00D3560D"/>
    <w:rsid w:val="00D44A4F"/>
    <w:rsid w:val="00D456BE"/>
    <w:rsid w:val="00D46DCB"/>
    <w:rsid w:val="00D46DDF"/>
    <w:rsid w:val="00D5294E"/>
    <w:rsid w:val="00D541BC"/>
    <w:rsid w:val="00D57EA8"/>
    <w:rsid w:val="00D6036B"/>
    <w:rsid w:val="00D60523"/>
    <w:rsid w:val="00D62047"/>
    <w:rsid w:val="00D64D38"/>
    <w:rsid w:val="00D657D9"/>
    <w:rsid w:val="00D66F9C"/>
    <w:rsid w:val="00D71026"/>
    <w:rsid w:val="00D723EA"/>
    <w:rsid w:val="00D73D6D"/>
    <w:rsid w:val="00D748DD"/>
    <w:rsid w:val="00D80FAF"/>
    <w:rsid w:val="00D819AF"/>
    <w:rsid w:val="00D82B48"/>
    <w:rsid w:val="00D84568"/>
    <w:rsid w:val="00D86442"/>
    <w:rsid w:val="00D92978"/>
    <w:rsid w:val="00D932D5"/>
    <w:rsid w:val="00D9354B"/>
    <w:rsid w:val="00DA0988"/>
    <w:rsid w:val="00DA0FB3"/>
    <w:rsid w:val="00DA6077"/>
    <w:rsid w:val="00DA7D1E"/>
    <w:rsid w:val="00DB0184"/>
    <w:rsid w:val="00DB139F"/>
    <w:rsid w:val="00DB3F65"/>
    <w:rsid w:val="00DB5C5E"/>
    <w:rsid w:val="00DB5CC3"/>
    <w:rsid w:val="00DB6D86"/>
    <w:rsid w:val="00DC1D8D"/>
    <w:rsid w:val="00DC236C"/>
    <w:rsid w:val="00DC3816"/>
    <w:rsid w:val="00DC4011"/>
    <w:rsid w:val="00DC499E"/>
    <w:rsid w:val="00DC4B10"/>
    <w:rsid w:val="00DC5952"/>
    <w:rsid w:val="00DC5993"/>
    <w:rsid w:val="00DC75C5"/>
    <w:rsid w:val="00DC7961"/>
    <w:rsid w:val="00DD1FA0"/>
    <w:rsid w:val="00DD3092"/>
    <w:rsid w:val="00DD64FA"/>
    <w:rsid w:val="00DD7587"/>
    <w:rsid w:val="00DE3543"/>
    <w:rsid w:val="00DE78B4"/>
    <w:rsid w:val="00DF14AE"/>
    <w:rsid w:val="00DF1F51"/>
    <w:rsid w:val="00DF230C"/>
    <w:rsid w:val="00DF26B7"/>
    <w:rsid w:val="00DF2F1C"/>
    <w:rsid w:val="00DF38AF"/>
    <w:rsid w:val="00DF3B41"/>
    <w:rsid w:val="00DF4215"/>
    <w:rsid w:val="00DF4DA4"/>
    <w:rsid w:val="00DF7118"/>
    <w:rsid w:val="00E00D6B"/>
    <w:rsid w:val="00E015C9"/>
    <w:rsid w:val="00E02E8B"/>
    <w:rsid w:val="00E07023"/>
    <w:rsid w:val="00E1278D"/>
    <w:rsid w:val="00E1465B"/>
    <w:rsid w:val="00E14772"/>
    <w:rsid w:val="00E233CA"/>
    <w:rsid w:val="00E345C6"/>
    <w:rsid w:val="00E34614"/>
    <w:rsid w:val="00E36244"/>
    <w:rsid w:val="00E37466"/>
    <w:rsid w:val="00E47FBB"/>
    <w:rsid w:val="00E51F2C"/>
    <w:rsid w:val="00E52C3D"/>
    <w:rsid w:val="00E53482"/>
    <w:rsid w:val="00E539C1"/>
    <w:rsid w:val="00E540E7"/>
    <w:rsid w:val="00E676D3"/>
    <w:rsid w:val="00E71985"/>
    <w:rsid w:val="00E72D20"/>
    <w:rsid w:val="00E804CF"/>
    <w:rsid w:val="00E8152B"/>
    <w:rsid w:val="00E82B93"/>
    <w:rsid w:val="00E86530"/>
    <w:rsid w:val="00E876A7"/>
    <w:rsid w:val="00E9286F"/>
    <w:rsid w:val="00E96CFD"/>
    <w:rsid w:val="00EA05CC"/>
    <w:rsid w:val="00EA0610"/>
    <w:rsid w:val="00EA19A5"/>
    <w:rsid w:val="00EA4286"/>
    <w:rsid w:val="00EA4EEB"/>
    <w:rsid w:val="00EB1454"/>
    <w:rsid w:val="00EB1871"/>
    <w:rsid w:val="00EB2DD5"/>
    <w:rsid w:val="00EB5B31"/>
    <w:rsid w:val="00EB66D2"/>
    <w:rsid w:val="00EC0C7F"/>
    <w:rsid w:val="00EC1801"/>
    <w:rsid w:val="00EC5B3C"/>
    <w:rsid w:val="00EC639A"/>
    <w:rsid w:val="00EC7303"/>
    <w:rsid w:val="00ED5FFF"/>
    <w:rsid w:val="00ED7A65"/>
    <w:rsid w:val="00EE1D93"/>
    <w:rsid w:val="00EE5F6A"/>
    <w:rsid w:val="00EF4B02"/>
    <w:rsid w:val="00F0595C"/>
    <w:rsid w:val="00F06872"/>
    <w:rsid w:val="00F074E5"/>
    <w:rsid w:val="00F07CBF"/>
    <w:rsid w:val="00F10E55"/>
    <w:rsid w:val="00F170F3"/>
    <w:rsid w:val="00F217EA"/>
    <w:rsid w:val="00F30710"/>
    <w:rsid w:val="00F320E0"/>
    <w:rsid w:val="00F336C8"/>
    <w:rsid w:val="00F35155"/>
    <w:rsid w:val="00F35198"/>
    <w:rsid w:val="00F44A79"/>
    <w:rsid w:val="00F46E93"/>
    <w:rsid w:val="00F47BF5"/>
    <w:rsid w:val="00F51389"/>
    <w:rsid w:val="00F52E5E"/>
    <w:rsid w:val="00F618B9"/>
    <w:rsid w:val="00F66B25"/>
    <w:rsid w:val="00F66FF9"/>
    <w:rsid w:val="00F706F5"/>
    <w:rsid w:val="00F71181"/>
    <w:rsid w:val="00F72A48"/>
    <w:rsid w:val="00F73C47"/>
    <w:rsid w:val="00F75119"/>
    <w:rsid w:val="00F76564"/>
    <w:rsid w:val="00F8312F"/>
    <w:rsid w:val="00F831AC"/>
    <w:rsid w:val="00F83543"/>
    <w:rsid w:val="00F838AC"/>
    <w:rsid w:val="00F8425D"/>
    <w:rsid w:val="00F96B46"/>
    <w:rsid w:val="00F977A8"/>
    <w:rsid w:val="00FA139E"/>
    <w:rsid w:val="00FA4EDC"/>
    <w:rsid w:val="00FA626C"/>
    <w:rsid w:val="00FA6AEA"/>
    <w:rsid w:val="00FA7CD2"/>
    <w:rsid w:val="00FC3847"/>
    <w:rsid w:val="00FC506A"/>
    <w:rsid w:val="00FD53CE"/>
    <w:rsid w:val="00FD6442"/>
    <w:rsid w:val="00FD7C91"/>
    <w:rsid w:val="00FE1927"/>
    <w:rsid w:val="00FE2178"/>
    <w:rsid w:val="00FE36EB"/>
    <w:rsid w:val="00FE3EBD"/>
    <w:rsid w:val="00FE5E98"/>
    <w:rsid w:val="00FE7FCD"/>
    <w:rsid w:val="00FF107D"/>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4FEF78"/>
  <w15:docId w15:val="{B11F0A2A-4C01-423A-BD3D-41E33292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195"/>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BC3AA1"/>
    <w:pPr>
      <w:numPr>
        <w:numId w:val="0"/>
      </w:numPr>
      <w:outlineLvl w:val="0"/>
    </w:pPr>
  </w:style>
  <w:style w:type="paragraph" w:styleId="Heading2">
    <w:name w:val="heading 2"/>
    <w:aliases w:val="2*"/>
    <w:basedOn w:val="SPEC1"/>
    <w:next w:val="Normal"/>
    <w:link w:val="Heading2Char"/>
    <w:uiPriority w:val="9"/>
    <w:unhideWhenUsed/>
    <w:rsid w:val="00BC3AA1"/>
    <w:pPr>
      <w:outlineLvl w:val="1"/>
    </w:pPr>
  </w:style>
  <w:style w:type="paragraph" w:styleId="Heading3">
    <w:name w:val="heading 3"/>
    <w:aliases w:val="3*"/>
    <w:basedOn w:val="SPEC2"/>
    <w:next w:val="Normal"/>
    <w:link w:val="Heading3Char"/>
    <w:uiPriority w:val="9"/>
    <w:unhideWhenUsed/>
    <w:rsid w:val="00BC3AA1"/>
    <w:pPr>
      <w:outlineLvl w:val="2"/>
    </w:pPr>
  </w:style>
  <w:style w:type="paragraph" w:styleId="Heading4">
    <w:name w:val="heading 4"/>
    <w:aliases w:val="4*"/>
    <w:basedOn w:val="SPEC3"/>
    <w:next w:val="Normal"/>
    <w:link w:val="Heading4Char"/>
    <w:uiPriority w:val="9"/>
    <w:unhideWhenUsed/>
    <w:rsid w:val="00BC3AA1"/>
    <w:pPr>
      <w:outlineLvl w:val="3"/>
    </w:pPr>
  </w:style>
  <w:style w:type="paragraph" w:styleId="Heading5">
    <w:name w:val="heading 5"/>
    <w:aliases w:val="5*"/>
    <w:basedOn w:val="SPEC4"/>
    <w:next w:val="Normal"/>
    <w:link w:val="Heading5Char"/>
    <w:uiPriority w:val="9"/>
    <w:unhideWhenUsed/>
    <w:rsid w:val="00BC3AA1"/>
    <w:pPr>
      <w:outlineLvl w:val="4"/>
    </w:pPr>
  </w:style>
  <w:style w:type="paragraph" w:styleId="Heading6">
    <w:name w:val="heading 6"/>
    <w:aliases w:val="6*"/>
    <w:basedOn w:val="SPEC5"/>
    <w:next w:val="Normal"/>
    <w:link w:val="Heading6Char"/>
    <w:uiPriority w:val="9"/>
    <w:unhideWhenUsed/>
    <w:rsid w:val="00DB5C5E"/>
    <w:pPr>
      <w:outlineLvl w:val="5"/>
    </w:pPr>
  </w:style>
  <w:style w:type="paragraph" w:styleId="Heading7">
    <w:name w:val="heading 7"/>
    <w:basedOn w:val="SPEC6"/>
    <w:next w:val="Normal"/>
    <w:qFormat/>
    <w:rsid w:val="00DB5C5E"/>
    <w:pPr>
      <w:outlineLvl w:val="6"/>
    </w:pPr>
  </w:style>
  <w:style w:type="paragraph" w:styleId="Heading8">
    <w:name w:val="heading 8"/>
    <w:basedOn w:val="SPEC7"/>
    <w:next w:val="Normal"/>
    <w:qFormat/>
    <w:rsid w:val="00DB5C5E"/>
    <w:pPr>
      <w:outlineLvl w:val="7"/>
    </w:pPr>
  </w:style>
  <w:style w:type="paragraph" w:styleId="Heading9">
    <w:name w:val="heading 9"/>
    <w:basedOn w:val="Normal"/>
    <w:next w:val="Normal"/>
    <w:qFormat/>
    <w:rsid w:val="00C10798"/>
    <w:pPr>
      <w:numPr>
        <w:ilvl w:val="8"/>
        <w:numId w:val="35"/>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2153E"/>
    <w:pPr>
      <w:keepNext/>
      <w:numPr>
        <w:numId w:val="35"/>
      </w:numPr>
      <w:tabs>
        <w:tab w:val="left" w:pos="1080"/>
      </w:tabs>
      <w:jc w:val="both"/>
    </w:pPr>
    <w:rPr>
      <w:rFonts w:cs="Arial"/>
      <w:b/>
      <w:caps/>
      <w:szCs w:val="24"/>
    </w:rPr>
  </w:style>
  <w:style w:type="character" w:customStyle="1" w:styleId="Heading1Char">
    <w:name w:val="Heading 1 Char"/>
    <w:aliases w:val="1* Char"/>
    <w:link w:val="Heading1"/>
    <w:uiPriority w:val="9"/>
    <w:rsid w:val="00BC3AA1"/>
    <w:rPr>
      <w:rFonts w:ascii="Arial" w:eastAsia="Calibri" w:hAnsi="Arial" w:cs="Arial"/>
      <w:b/>
      <w:caps/>
      <w:sz w:val="24"/>
      <w:szCs w:val="24"/>
    </w:rPr>
  </w:style>
  <w:style w:type="paragraph" w:customStyle="1" w:styleId="SPEC1">
    <w:name w:val="SPEC1"/>
    <w:basedOn w:val="Normal"/>
    <w:qFormat/>
    <w:rsid w:val="00C2153E"/>
    <w:pPr>
      <w:keepNext/>
      <w:numPr>
        <w:ilvl w:val="1"/>
        <w:numId w:val="35"/>
      </w:numPr>
      <w:jc w:val="both"/>
      <w:outlineLvl w:val="0"/>
    </w:pPr>
    <w:rPr>
      <w:rFonts w:cs="Arial"/>
      <w:caps/>
      <w:szCs w:val="24"/>
    </w:rPr>
  </w:style>
  <w:style w:type="character" w:customStyle="1" w:styleId="Heading2Char">
    <w:name w:val="Heading 2 Char"/>
    <w:aliases w:val="2* Char"/>
    <w:link w:val="Heading2"/>
    <w:uiPriority w:val="9"/>
    <w:rsid w:val="00BC3AA1"/>
    <w:rPr>
      <w:rFonts w:ascii="Arial" w:eastAsia="Calibri" w:hAnsi="Arial" w:cs="Arial"/>
      <w:caps/>
      <w:sz w:val="24"/>
      <w:szCs w:val="24"/>
    </w:rPr>
  </w:style>
  <w:style w:type="paragraph" w:customStyle="1" w:styleId="SPEC2">
    <w:name w:val="SPEC2"/>
    <w:basedOn w:val="SPECIndent"/>
    <w:rsid w:val="00C2153E"/>
    <w:pPr>
      <w:numPr>
        <w:ilvl w:val="2"/>
        <w:numId w:val="35"/>
      </w:numPr>
    </w:pPr>
  </w:style>
  <w:style w:type="paragraph" w:customStyle="1" w:styleId="SPECIndent">
    <w:name w:val="SPEC Indent"/>
    <w:basedOn w:val="Normal"/>
    <w:qFormat/>
    <w:rsid w:val="0026251E"/>
    <w:pPr>
      <w:ind w:left="720"/>
      <w:jc w:val="both"/>
    </w:pPr>
    <w:rPr>
      <w:rFonts w:cs="Arial"/>
      <w:szCs w:val="24"/>
    </w:rPr>
  </w:style>
  <w:style w:type="character" w:customStyle="1" w:styleId="Heading3Char">
    <w:name w:val="Heading 3 Char"/>
    <w:aliases w:val="3* Char"/>
    <w:link w:val="Heading3"/>
    <w:uiPriority w:val="9"/>
    <w:rsid w:val="00BC3AA1"/>
    <w:rPr>
      <w:rFonts w:ascii="Arial" w:eastAsia="Calibri" w:hAnsi="Arial" w:cs="Arial"/>
      <w:sz w:val="24"/>
      <w:szCs w:val="24"/>
    </w:rPr>
  </w:style>
  <w:style w:type="paragraph" w:customStyle="1" w:styleId="SPEC3">
    <w:name w:val="SPEC3"/>
    <w:basedOn w:val="SPEC2"/>
    <w:rsid w:val="00C2153E"/>
    <w:pPr>
      <w:numPr>
        <w:ilvl w:val="3"/>
      </w:numPr>
    </w:pPr>
  </w:style>
  <w:style w:type="character" w:customStyle="1" w:styleId="Heading4Char">
    <w:name w:val="Heading 4 Char"/>
    <w:aliases w:val="4* Char"/>
    <w:link w:val="Heading4"/>
    <w:uiPriority w:val="9"/>
    <w:rsid w:val="00BC3AA1"/>
    <w:rPr>
      <w:rFonts w:ascii="Arial" w:eastAsia="Calibri" w:hAnsi="Arial" w:cs="Arial"/>
      <w:sz w:val="24"/>
      <w:szCs w:val="24"/>
    </w:rPr>
  </w:style>
  <w:style w:type="paragraph" w:customStyle="1" w:styleId="SPEC4">
    <w:name w:val="SPEC4"/>
    <w:basedOn w:val="SPEC3"/>
    <w:rsid w:val="00C2153E"/>
    <w:pPr>
      <w:numPr>
        <w:ilvl w:val="4"/>
      </w:numPr>
    </w:pPr>
  </w:style>
  <w:style w:type="character" w:customStyle="1" w:styleId="Heading5Char">
    <w:name w:val="Heading 5 Char"/>
    <w:aliases w:val="5* Char"/>
    <w:link w:val="Heading5"/>
    <w:uiPriority w:val="9"/>
    <w:rsid w:val="00BC3AA1"/>
    <w:rPr>
      <w:rFonts w:ascii="Arial" w:eastAsia="Calibri" w:hAnsi="Arial" w:cs="Arial"/>
      <w:sz w:val="24"/>
      <w:szCs w:val="24"/>
    </w:rPr>
  </w:style>
  <w:style w:type="paragraph" w:customStyle="1" w:styleId="SPEC5">
    <w:name w:val="SPEC5"/>
    <w:basedOn w:val="SPEC4"/>
    <w:rsid w:val="00C2153E"/>
    <w:pPr>
      <w:numPr>
        <w:ilvl w:val="5"/>
      </w:numPr>
    </w:pPr>
  </w:style>
  <w:style w:type="character" w:customStyle="1" w:styleId="Heading6Char">
    <w:name w:val="Heading 6 Char"/>
    <w:aliases w:val="6* Char"/>
    <w:link w:val="Heading6"/>
    <w:uiPriority w:val="9"/>
    <w:rsid w:val="00DB5C5E"/>
    <w:rPr>
      <w:rFonts w:ascii="Arial" w:eastAsia="Calibri" w:hAnsi="Arial" w:cs="Arial"/>
      <w:sz w:val="24"/>
      <w:szCs w:val="24"/>
    </w:rPr>
  </w:style>
  <w:style w:type="paragraph" w:customStyle="1" w:styleId="SPEC6">
    <w:name w:val="SPEC6"/>
    <w:basedOn w:val="SPEC5"/>
    <w:qFormat/>
    <w:rsid w:val="00C2153E"/>
    <w:pPr>
      <w:numPr>
        <w:ilvl w:val="6"/>
      </w:numPr>
    </w:pPr>
  </w:style>
  <w:style w:type="paragraph" w:customStyle="1" w:styleId="SPEC7">
    <w:name w:val="SPEC7"/>
    <w:basedOn w:val="SPEC6"/>
    <w:qFormat/>
    <w:rsid w:val="00C2153E"/>
    <w:pPr>
      <w:numPr>
        <w:ilvl w:val="7"/>
      </w:numPr>
    </w:pPr>
  </w:style>
  <w:style w:type="paragraph" w:customStyle="1" w:styleId="SPECIndent2">
    <w:name w:val="SPEC Indent 2"/>
    <w:basedOn w:val="SPECIndent"/>
    <w:qFormat/>
    <w:rsid w:val="00F170F3"/>
    <w:pPr>
      <w:ind w:left="1296"/>
    </w:pPr>
  </w:style>
  <w:style w:type="paragraph" w:customStyle="1" w:styleId="SPECIndent3">
    <w:name w:val="SPEC Indent 3"/>
    <w:basedOn w:val="SPECIndent2"/>
    <w:qFormat/>
    <w:rsid w:val="00F170F3"/>
    <w:pPr>
      <w:ind w:left="1872"/>
    </w:pPr>
  </w:style>
  <w:style w:type="paragraph" w:customStyle="1" w:styleId="SPECIndent4">
    <w:name w:val="SPEC Indent 4"/>
    <w:basedOn w:val="SPECIndent3"/>
    <w:qFormat/>
    <w:rsid w:val="00F170F3"/>
    <w:pPr>
      <w:ind w:left="2448"/>
    </w:pPr>
  </w:style>
  <w:style w:type="paragraph" w:customStyle="1" w:styleId="SPECIndent5">
    <w:name w:val="SPEC Indent 5"/>
    <w:basedOn w:val="SPECIndent4"/>
    <w:qFormat/>
    <w:rsid w:val="00F170F3"/>
    <w:pPr>
      <w:ind w:left="3024"/>
    </w:pPr>
  </w:style>
  <w:style w:type="paragraph" w:customStyle="1" w:styleId="SPECIndent6">
    <w:name w:val="SPEC Indent 6"/>
    <w:basedOn w:val="SPECIndent5"/>
    <w:qFormat/>
    <w:rsid w:val="00F170F3"/>
    <w:pPr>
      <w:ind w:left="3600"/>
    </w:pPr>
  </w:style>
  <w:style w:type="paragraph" w:customStyle="1" w:styleId="Title-Table">
    <w:name w:val="Title-Table"/>
    <w:aliases w:val="TT*"/>
    <w:basedOn w:val="Normal"/>
    <w:next w:val="BodyText"/>
    <w:rsid w:val="00F170F3"/>
    <w:pPr>
      <w:spacing w:after="0"/>
      <w:jc w:val="center"/>
    </w:pPr>
    <w:rPr>
      <w:b/>
      <w:sz w:val="20"/>
    </w:rPr>
  </w:style>
  <w:style w:type="paragraph" w:styleId="BodyText">
    <w:name w:val="Body Text"/>
    <w:basedOn w:val="Normal"/>
    <w:link w:val="BodyTextChar"/>
    <w:unhideWhenUsed/>
    <w:rsid w:val="00F170F3"/>
  </w:style>
  <w:style w:type="character" w:customStyle="1" w:styleId="BodyTextChar">
    <w:name w:val="Body Text Char"/>
    <w:basedOn w:val="DefaultParagraphFont"/>
    <w:link w:val="BodyText"/>
    <w:rsid w:val="00F170F3"/>
    <w:rPr>
      <w:rFonts w:ascii="Arial" w:eastAsia="Calibri" w:hAnsi="Arial"/>
      <w:sz w:val="24"/>
      <w:szCs w:val="22"/>
    </w:rPr>
  </w:style>
  <w:style w:type="character" w:customStyle="1" w:styleId="EmphasisBold">
    <w:name w:val="Emphasis_Bold"/>
    <w:basedOn w:val="DefaultParagraphFont"/>
    <w:uiPriority w:val="1"/>
    <w:qFormat/>
    <w:rsid w:val="0086205E"/>
    <w:rPr>
      <w:b/>
    </w:rPr>
  </w:style>
  <w:style w:type="character" w:customStyle="1" w:styleId="EmphasisItalic">
    <w:name w:val="Emphasis_Italic"/>
    <w:basedOn w:val="DefaultParagraphFont"/>
    <w:uiPriority w:val="1"/>
    <w:qFormat/>
    <w:rsid w:val="0086205E"/>
    <w:rPr>
      <w:i/>
    </w:rPr>
  </w:style>
  <w:style w:type="character" w:customStyle="1" w:styleId="EmphasisUnderline">
    <w:name w:val="Emphasis_Underline"/>
    <w:basedOn w:val="DefaultParagraphFont"/>
    <w:uiPriority w:val="1"/>
    <w:qFormat/>
    <w:rsid w:val="0086205E"/>
    <w:rPr>
      <w:u w:val="single"/>
    </w:rPr>
  </w:style>
  <w:style w:type="paragraph" w:customStyle="1" w:styleId="TableHeading">
    <w:name w:val="Table Heading"/>
    <w:basedOn w:val="TableText"/>
    <w:rsid w:val="00C10798"/>
    <w:pPr>
      <w:jc w:val="center"/>
    </w:pPr>
    <w:rPr>
      <w:b/>
    </w:rPr>
  </w:style>
  <w:style w:type="paragraph" w:customStyle="1" w:styleId="TableText">
    <w:name w:val="Table Text"/>
    <w:basedOn w:val="Normal"/>
    <w:rsid w:val="00C10798"/>
    <w:pPr>
      <w:spacing w:before="40" w:after="40"/>
    </w:pPr>
    <w:rPr>
      <w:sz w:val="18"/>
    </w:rPr>
  </w:style>
  <w:style w:type="paragraph" w:styleId="Header">
    <w:name w:val="header"/>
    <w:basedOn w:val="Normal"/>
    <w:link w:val="HeaderChar"/>
    <w:uiPriority w:val="99"/>
    <w:unhideWhenUsed/>
    <w:rsid w:val="00C10798"/>
    <w:pPr>
      <w:tabs>
        <w:tab w:val="center" w:pos="4680"/>
        <w:tab w:val="right" w:pos="9360"/>
      </w:tabs>
    </w:pPr>
  </w:style>
  <w:style w:type="character" w:customStyle="1" w:styleId="HeaderChar">
    <w:name w:val="Header Char"/>
    <w:link w:val="Header"/>
    <w:uiPriority w:val="99"/>
    <w:rsid w:val="00C10798"/>
    <w:rPr>
      <w:rFonts w:ascii="Arial" w:eastAsia="Calibri" w:hAnsi="Arial"/>
      <w:sz w:val="24"/>
      <w:szCs w:val="22"/>
    </w:rPr>
  </w:style>
  <w:style w:type="paragraph" w:customStyle="1" w:styleId="SectionEnd">
    <w:name w:val="Section End"/>
    <w:basedOn w:val="Normal"/>
    <w:rsid w:val="00CE42A0"/>
    <w:pPr>
      <w:jc w:val="center"/>
    </w:pPr>
    <w:rPr>
      <w:rFonts w:cs="Arial"/>
      <w:b/>
      <w:caps/>
      <w:szCs w:val="24"/>
    </w:rPr>
  </w:style>
  <w:style w:type="paragraph" w:customStyle="1" w:styleId="SectionTOC">
    <w:name w:val="Section TOC"/>
    <w:basedOn w:val="Normal"/>
    <w:rsid w:val="00C10798"/>
    <w:pPr>
      <w:spacing w:after="480"/>
      <w:jc w:val="center"/>
    </w:pPr>
    <w:rPr>
      <w:b/>
      <w:caps/>
      <w:vanish/>
      <w:color w:val="000080"/>
    </w:rPr>
  </w:style>
  <w:style w:type="paragraph" w:styleId="Footer">
    <w:name w:val="footer"/>
    <w:basedOn w:val="Normal"/>
    <w:link w:val="FooterChar"/>
    <w:uiPriority w:val="99"/>
    <w:unhideWhenUsed/>
    <w:rsid w:val="00C10798"/>
    <w:pPr>
      <w:tabs>
        <w:tab w:val="center" w:pos="4680"/>
        <w:tab w:val="right" w:pos="9360"/>
      </w:tabs>
    </w:pPr>
  </w:style>
  <w:style w:type="character" w:customStyle="1" w:styleId="FooterChar">
    <w:name w:val="Footer Char"/>
    <w:link w:val="Footer"/>
    <w:uiPriority w:val="99"/>
    <w:rsid w:val="00C10798"/>
    <w:rPr>
      <w:rFonts w:ascii="Arial" w:eastAsia="Calibri" w:hAnsi="Arial"/>
      <w:sz w:val="24"/>
      <w:szCs w:val="22"/>
    </w:rPr>
  </w:style>
  <w:style w:type="character" w:styleId="PageNumber">
    <w:name w:val="page number"/>
    <w:uiPriority w:val="99"/>
    <w:unhideWhenUsed/>
    <w:rsid w:val="00C10798"/>
    <w:rPr>
      <w:rFonts w:ascii="Calibri" w:hAnsi="Calibri"/>
      <w:b w:val="0"/>
      <w:i w:val="0"/>
      <w:sz w:val="20"/>
    </w:rPr>
  </w:style>
  <w:style w:type="paragraph" w:customStyle="1" w:styleId="tablenote">
    <w:name w:val="tablenote"/>
    <w:basedOn w:val="Normal"/>
    <w:rsid w:val="009E107F"/>
    <w:pPr>
      <w:spacing w:before="60" w:line="200" w:lineRule="exact"/>
      <w:ind w:left="216" w:hanging="216"/>
    </w:pPr>
    <w:rPr>
      <w:sz w:val="18"/>
    </w:rPr>
  </w:style>
  <w:style w:type="paragraph" w:customStyle="1" w:styleId="SPECTEXT">
    <w:name w:val="SPEC TEXT"/>
    <w:basedOn w:val="Normal"/>
    <w:rsid w:val="002439EB"/>
    <w:pPr>
      <w:jc w:val="both"/>
    </w:pPr>
    <w:rPr>
      <w:rFonts w:cs="Arial"/>
    </w:rPr>
  </w:style>
  <w:style w:type="character" w:styleId="Hyperlink">
    <w:name w:val="Hyperlink"/>
    <w:rsid w:val="00C10798"/>
    <w:rPr>
      <w:color w:val="0000FF"/>
      <w:u w:val="single"/>
    </w:rPr>
  </w:style>
  <w:style w:type="paragraph" w:customStyle="1" w:styleId="header-even">
    <w:name w:val="header-even"/>
    <w:aliases w:val="EH*"/>
    <w:basedOn w:val="Header"/>
    <w:next w:val="Normal"/>
    <w:rsid w:val="00C10798"/>
    <w:pPr>
      <w:pBdr>
        <w:bottom w:val="single" w:sz="4" w:space="1" w:color="auto"/>
      </w:pBdr>
    </w:pPr>
    <w:rPr>
      <w:rFonts w:cs="Arial"/>
      <w:i/>
      <w:sz w:val="20"/>
      <w:szCs w:val="20"/>
    </w:rPr>
  </w:style>
  <w:style w:type="paragraph" w:customStyle="1" w:styleId="header-odd">
    <w:name w:val="header-odd"/>
    <w:aliases w:val="OH*"/>
    <w:basedOn w:val="Header"/>
    <w:next w:val="Normal"/>
    <w:rsid w:val="00C10798"/>
    <w:pPr>
      <w:pBdr>
        <w:bottom w:val="single" w:sz="4" w:space="1" w:color="auto"/>
      </w:pBdr>
      <w:jc w:val="right"/>
    </w:pPr>
    <w:rPr>
      <w:rFonts w:cs="Arial"/>
      <w:i/>
      <w:sz w:val="20"/>
      <w:szCs w:val="20"/>
    </w:rPr>
  </w:style>
  <w:style w:type="paragraph" w:styleId="ListBullet">
    <w:name w:val="List Bullet"/>
    <w:basedOn w:val="Normal"/>
    <w:uiPriority w:val="99"/>
    <w:unhideWhenUsed/>
    <w:rsid w:val="00C10798"/>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10798"/>
    <w:pPr>
      <w:pBdr>
        <w:bottom w:val="single" w:sz="6" w:space="1" w:color="auto"/>
      </w:pBdr>
    </w:pPr>
    <w:rPr>
      <w:b/>
    </w:rPr>
  </w:style>
  <w:style w:type="paragraph" w:customStyle="1" w:styleId="ProjectNo">
    <w:name w:val="Project No."/>
    <w:basedOn w:val="Normal"/>
    <w:rsid w:val="00C10798"/>
    <w:pPr>
      <w:pBdr>
        <w:top w:val="single" w:sz="6" w:space="1" w:color="auto"/>
      </w:pBdr>
      <w:tabs>
        <w:tab w:val="center" w:pos="4680"/>
        <w:tab w:val="right" w:pos="9360"/>
      </w:tabs>
    </w:pPr>
    <w:rPr>
      <w:b/>
      <w:sz w:val="18"/>
    </w:rPr>
  </w:style>
  <w:style w:type="paragraph" w:styleId="Revision">
    <w:name w:val="Revision"/>
    <w:hidden/>
    <w:uiPriority w:val="99"/>
    <w:semiHidden/>
    <w:rsid w:val="000B3EC9"/>
    <w:rPr>
      <w:rFonts w:ascii="Arial" w:eastAsia="Calibri" w:hAnsi="Arial"/>
      <w:sz w:val="24"/>
      <w:szCs w:val="22"/>
    </w:rPr>
  </w:style>
  <w:style w:type="table" w:styleId="TableGrid">
    <w:name w:val="Table Grid"/>
    <w:basedOn w:val="TableNormal"/>
    <w:rsid w:val="0073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7EB8"/>
    <w:rPr>
      <w:color w:val="800080" w:themeColor="followedHyperlink"/>
      <w:u w:val="single"/>
    </w:rPr>
  </w:style>
  <w:style w:type="paragraph" w:styleId="BalloonText">
    <w:name w:val="Balloon Text"/>
    <w:basedOn w:val="Normal"/>
    <w:link w:val="BalloonTextChar"/>
    <w:uiPriority w:val="99"/>
    <w:semiHidden/>
    <w:unhideWhenUsed/>
    <w:rsid w:val="00F47B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BF5"/>
    <w:rPr>
      <w:rFonts w:ascii="Segoe UI" w:eastAsia="Calibri" w:hAnsi="Segoe UI" w:cs="Segoe UI"/>
      <w:sz w:val="18"/>
      <w:szCs w:val="18"/>
    </w:rPr>
  </w:style>
  <w:style w:type="paragraph" w:styleId="Bibliography">
    <w:name w:val="Bibliography"/>
    <w:basedOn w:val="Normal"/>
    <w:next w:val="Normal"/>
    <w:uiPriority w:val="37"/>
    <w:semiHidden/>
    <w:unhideWhenUsed/>
    <w:rsid w:val="00F47BF5"/>
  </w:style>
  <w:style w:type="paragraph" w:styleId="BlockText">
    <w:name w:val="Block Text"/>
    <w:basedOn w:val="Normal"/>
    <w:semiHidden/>
    <w:unhideWhenUsed/>
    <w:rsid w:val="00F47B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F47BF5"/>
    <w:pPr>
      <w:spacing w:line="480" w:lineRule="auto"/>
    </w:pPr>
  </w:style>
  <w:style w:type="character" w:customStyle="1" w:styleId="BodyText2Char">
    <w:name w:val="Body Text 2 Char"/>
    <w:basedOn w:val="DefaultParagraphFont"/>
    <w:link w:val="BodyText2"/>
    <w:semiHidden/>
    <w:rsid w:val="00F47BF5"/>
    <w:rPr>
      <w:rFonts w:ascii="Arial" w:eastAsia="Calibri" w:hAnsi="Arial"/>
      <w:sz w:val="24"/>
      <w:szCs w:val="22"/>
    </w:rPr>
  </w:style>
  <w:style w:type="paragraph" w:styleId="BodyText3">
    <w:name w:val="Body Text 3"/>
    <w:basedOn w:val="Normal"/>
    <w:link w:val="BodyText3Char"/>
    <w:semiHidden/>
    <w:unhideWhenUsed/>
    <w:rsid w:val="00F47BF5"/>
    <w:rPr>
      <w:sz w:val="16"/>
      <w:szCs w:val="16"/>
    </w:rPr>
  </w:style>
  <w:style w:type="character" w:customStyle="1" w:styleId="BodyText3Char">
    <w:name w:val="Body Text 3 Char"/>
    <w:basedOn w:val="DefaultParagraphFont"/>
    <w:link w:val="BodyText3"/>
    <w:semiHidden/>
    <w:rsid w:val="00F47BF5"/>
    <w:rPr>
      <w:rFonts w:ascii="Arial" w:eastAsia="Calibri" w:hAnsi="Arial"/>
      <w:sz w:val="16"/>
      <w:szCs w:val="16"/>
    </w:rPr>
  </w:style>
  <w:style w:type="paragraph" w:styleId="BodyTextFirstIndent">
    <w:name w:val="Body Text First Indent"/>
    <w:basedOn w:val="BodyText"/>
    <w:link w:val="BodyTextFirstIndentChar"/>
    <w:rsid w:val="00F47BF5"/>
    <w:pPr>
      <w:ind w:firstLine="360"/>
    </w:pPr>
  </w:style>
  <w:style w:type="character" w:customStyle="1" w:styleId="BodyTextFirstIndentChar">
    <w:name w:val="Body Text First Indent Char"/>
    <w:basedOn w:val="BodyTextChar"/>
    <w:link w:val="BodyTextFirstIndent"/>
    <w:rsid w:val="00F47BF5"/>
    <w:rPr>
      <w:rFonts w:ascii="Arial" w:eastAsia="Calibri" w:hAnsi="Arial"/>
      <w:sz w:val="24"/>
      <w:szCs w:val="22"/>
    </w:rPr>
  </w:style>
  <w:style w:type="paragraph" w:styleId="BodyTextIndent">
    <w:name w:val="Body Text Indent"/>
    <w:basedOn w:val="Normal"/>
    <w:link w:val="BodyTextIndentChar"/>
    <w:semiHidden/>
    <w:unhideWhenUsed/>
    <w:rsid w:val="00F47BF5"/>
    <w:pPr>
      <w:ind w:left="360"/>
    </w:pPr>
  </w:style>
  <w:style w:type="character" w:customStyle="1" w:styleId="BodyTextIndentChar">
    <w:name w:val="Body Text Indent Char"/>
    <w:basedOn w:val="DefaultParagraphFont"/>
    <w:link w:val="BodyTextIndent"/>
    <w:semiHidden/>
    <w:rsid w:val="00F47BF5"/>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F47BF5"/>
    <w:pPr>
      <w:ind w:firstLine="360"/>
    </w:pPr>
  </w:style>
  <w:style w:type="character" w:customStyle="1" w:styleId="BodyTextFirstIndent2Char">
    <w:name w:val="Body Text First Indent 2 Char"/>
    <w:basedOn w:val="BodyTextIndentChar"/>
    <w:link w:val="BodyTextFirstIndent2"/>
    <w:semiHidden/>
    <w:rsid w:val="00F47BF5"/>
    <w:rPr>
      <w:rFonts w:ascii="Arial" w:eastAsia="Calibri" w:hAnsi="Arial"/>
      <w:sz w:val="24"/>
      <w:szCs w:val="22"/>
    </w:rPr>
  </w:style>
  <w:style w:type="paragraph" w:styleId="BodyTextIndent2">
    <w:name w:val="Body Text Indent 2"/>
    <w:basedOn w:val="Normal"/>
    <w:link w:val="BodyTextIndent2Char"/>
    <w:semiHidden/>
    <w:unhideWhenUsed/>
    <w:rsid w:val="00F47BF5"/>
    <w:pPr>
      <w:spacing w:line="480" w:lineRule="auto"/>
      <w:ind w:left="360"/>
    </w:pPr>
  </w:style>
  <w:style w:type="character" w:customStyle="1" w:styleId="BodyTextIndent2Char">
    <w:name w:val="Body Text Indent 2 Char"/>
    <w:basedOn w:val="DefaultParagraphFont"/>
    <w:link w:val="BodyTextIndent2"/>
    <w:semiHidden/>
    <w:rsid w:val="00F47BF5"/>
    <w:rPr>
      <w:rFonts w:ascii="Arial" w:eastAsia="Calibri" w:hAnsi="Arial"/>
      <w:sz w:val="24"/>
      <w:szCs w:val="22"/>
    </w:rPr>
  </w:style>
  <w:style w:type="paragraph" w:styleId="BodyTextIndent3">
    <w:name w:val="Body Text Indent 3"/>
    <w:basedOn w:val="Normal"/>
    <w:link w:val="BodyTextIndent3Char"/>
    <w:semiHidden/>
    <w:unhideWhenUsed/>
    <w:rsid w:val="00F47BF5"/>
    <w:pPr>
      <w:ind w:left="360"/>
    </w:pPr>
    <w:rPr>
      <w:sz w:val="16"/>
      <w:szCs w:val="16"/>
    </w:rPr>
  </w:style>
  <w:style w:type="character" w:customStyle="1" w:styleId="BodyTextIndent3Char">
    <w:name w:val="Body Text Indent 3 Char"/>
    <w:basedOn w:val="DefaultParagraphFont"/>
    <w:link w:val="BodyTextIndent3"/>
    <w:semiHidden/>
    <w:rsid w:val="00F47BF5"/>
    <w:rPr>
      <w:rFonts w:ascii="Arial" w:eastAsia="Calibri" w:hAnsi="Arial"/>
      <w:sz w:val="16"/>
      <w:szCs w:val="16"/>
    </w:rPr>
  </w:style>
  <w:style w:type="paragraph" w:styleId="Caption">
    <w:name w:val="caption"/>
    <w:basedOn w:val="Normal"/>
    <w:next w:val="Normal"/>
    <w:semiHidden/>
    <w:unhideWhenUsed/>
    <w:qFormat/>
    <w:rsid w:val="00F47BF5"/>
    <w:pPr>
      <w:spacing w:after="200"/>
    </w:pPr>
    <w:rPr>
      <w:i/>
      <w:iCs/>
      <w:color w:val="1F497D" w:themeColor="text2"/>
      <w:sz w:val="18"/>
      <w:szCs w:val="18"/>
    </w:rPr>
  </w:style>
  <w:style w:type="paragraph" w:styleId="Closing">
    <w:name w:val="Closing"/>
    <w:basedOn w:val="Normal"/>
    <w:link w:val="ClosingChar"/>
    <w:semiHidden/>
    <w:unhideWhenUsed/>
    <w:rsid w:val="00F47BF5"/>
    <w:pPr>
      <w:spacing w:after="0"/>
      <w:ind w:left="4320"/>
    </w:pPr>
  </w:style>
  <w:style w:type="character" w:customStyle="1" w:styleId="ClosingChar">
    <w:name w:val="Closing Char"/>
    <w:basedOn w:val="DefaultParagraphFont"/>
    <w:link w:val="Closing"/>
    <w:semiHidden/>
    <w:rsid w:val="00F47BF5"/>
    <w:rPr>
      <w:rFonts w:ascii="Arial" w:eastAsia="Calibri" w:hAnsi="Arial"/>
      <w:sz w:val="24"/>
      <w:szCs w:val="22"/>
    </w:rPr>
  </w:style>
  <w:style w:type="paragraph" w:styleId="CommentText">
    <w:name w:val="annotation text"/>
    <w:basedOn w:val="Normal"/>
    <w:link w:val="CommentTextChar"/>
    <w:uiPriority w:val="99"/>
    <w:unhideWhenUsed/>
    <w:rsid w:val="00F47BF5"/>
    <w:rPr>
      <w:sz w:val="20"/>
      <w:szCs w:val="20"/>
    </w:rPr>
  </w:style>
  <w:style w:type="character" w:customStyle="1" w:styleId="CommentTextChar">
    <w:name w:val="Comment Text Char"/>
    <w:basedOn w:val="DefaultParagraphFont"/>
    <w:link w:val="CommentText"/>
    <w:uiPriority w:val="99"/>
    <w:rsid w:val="00F47BF5"/>
    <w:rPr>
      <w:rFonts w:ascii="Arial" w:eastAsia="Calibri" w:hAnsi="Arial"/>
    </w:rPr>
  </w:style>
  <w:style w:type="paragraph" w:styleId="CommentSubject">
    <w:name w:val="annotation subject"/>
    <w:basedOn w:val="CommentText"/>
    <w:next w:val="CommentText"/>
    <w:link w:val="CommentSubjectChar"/>
    <w:semiHidden/>
    <w:unhideWhenUsed/>
    <w:rsid w:val="00F47BF5"/>
    <w:rPr>
      <w:b/>
      <w:bCs/>
    </w:rPr>
  </w:style>
  <w:style w:type="character" w:customStyle="1" w:styleId="CommentSubjectChar">
    <w:name w:val="Comment Subject Char"/>
    <w:basedOn w:val="CommentTextChar"/>
    <w:link w:val="CommentSubject"/>
    <w:semiHidden/>
    <w:rsid w:val="00F47BF5"/>
    <w:rPr>
      <w:rFonts w:ascii="Arial" w:eastAsia="Calibri" w:hAnsi="Arial"/>
      <w:b/>
      <w:bCs/>
    </w:rPr>
  </w:style>
  <w:style w:type="paragraph" w:styleId="Date">
    <w:name w:val="Date"/>
    <w:basedOn w:val="Normal"/>
    <w:next w:val="Normal"/>
    <w:link w:val="DateChar"/>
    <w:rsid w:val="00F47BF5"/>
  </w:style>
  <w:style w:type="character" w:customStyle="1" w:styleId="DateChar">
    <w:name w:val="Date Char"/>
    <w:basedOn w:val="DefaultParagraphFont"/>
    <w:link w:val="Date"/>
    <w:rsid w:val="00F47BF5"/>
    <w:rPr>
      <w:rFonts w:ascii="Arial" w:eastAsia="Calibri" w:hAnsi="Arial"/>
      <w:sz w:val="24"/>
      <w:szCs w:val="22"/>
    </w:rPr>
  </w:style>
  <w:style w:type="paragraph" w:styleId="DocumentMap">
    <w:name w:val="Document Map"/>
    <w:basedOn w:val="Normal"/>
    <w:link w:val="DocumentMapChar"/>
    <w:semiHidden/>
    <w:unhideWhenUsed/>
    <w:rsid w:val="00F47BF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7BF5"/>
    <w:rPr>
      <w:rFonts w:ascii="Segoe UI" w:eastAsia="Calibri" w:hAnsi="Segoe UI" w:cs="Segoe UI"/>
      <w:sz w:val="16"/>
      <w:szCs w:val="16"/>
    </w:rPr>
  </w:style>
  <w:style w:type="paragraph" w:styleId="E-mailSignature">
    <w:name w:val="E-mail Signature"/>
    <w:basedOn w:val="Normal"/>
    <w:link w:val="E-mailSignatureChar"/>
    <w:semiHidden/>
    <w:unhideWhenUsed/>
    <w:rsid w:val="00F47BF5"/>
    <w:pPr>
      <w:spacing w:after="0"/>
    </w:pPr>
  </w:style>
  <w:style w:type="character" w:customStyle="1" w:styleId="E-mailSignatureChar">
    <w:name w:val="E-mail Signature Char"/>
    <w:basedOn w:val="DefaultParagraphFont"/>
    <w:link w:val="E-mailSignature"/>
    <w:semiHidden/>
    <w:rsid w:val="00F47BF5"/>
    <w:rPr>
      <w:rFonts w:ascii="Arial" w:eastAsia="Calibri" w:hAnsi="Arial"/>
      <w:sz w:val="24"/>
      <w:szCs w:val="22"/>
    </w:rPr>
  </w:style>
  <w:style w:type="paragraph" w:styleId="EndnoteText">
    <w:name w:val="endnote text"/>
    <w:basedOn w:val="Normal"/>
    <w:link w:val="EndnoteTextChar"/>
    <w:semiHidden/>
    <w:unhideWhenUsed/>
    <w:rsid w:val="00F47BF5"/>
    <w:pPr>
      <w:spacing w:after="0"/>
    </w:pPr>
    <w:rPr>
      <w:sz w:val="20"/>
      <w:szCs w:val="20"/>
    </w:rPr>
  </w:style>
  <w:style w:type="character" w:customStyle="1" w:styleId="EndnoteTextChar">
    <w:name w:val="Endnote Text Char"/>
    <w:basedOn w:val="DefaultParagraphFont"/>
    <w:link w:val="EndnoteText"/>
    <w:semiHidden/>
    <w:rsid w:val="00F47BF5"/>
    <w:rPr>
      <w:rFonts w:ascii="Arial" w:eastAsia="Calibri" w:hAnsi="Arial"/>
    </w:rPr>
  </w:style>
  <w:style w:type="paragraph" w:styleId="EnvelopeAddress">
    <w:name w:val="envelope address"/>
    <w:basedOn w:val="Normal"/>
    <w:semiHidden/>
    <w:unhideWhenUsed/>
    <w:rsid w:val="00F47BF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47BF5"/>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47BF5"/>
    <w:pPr>
      <w:spacing w:after="0"/>
    </w:pPr>
    <w:rPr>
      <w:sz w:val="20"/>
      <w:szCs w:val="20"/>
    </w:rPr>
  </w:style>
  <w:style w:type="character" w:customStyle="1" w:styleId="FootnoteTextChar">
    <w:name w:val="Footnote Text Char"/>
    <w:basedOn w:val="DefaultParagraphFont"/>
    <w:link w:val="FootnoteText"/>
    <w:semiHidden/>
    <w:rsid w:val="00F47BF5"/>
    <w:rPr>
      <w:rFonts w:ascii="Arial" w:eastAsia="Calibri" w:hAnsi="Arial"/>
    </w:rPr>
  </w:style>
  <w:style w:type="paragraph" w:styleId="HTMLAddress">
    <w:name w:val="HTML Address"/>
    <w:basedOn w:val="Normal"/>
    <w:link w:val="HTMLAddressChar"/>
    <w:semiHidden/>
    <w:unhideWhenUsed/>
    <w:rsid w:val="00F47BF5"/>
    <w:pPr>
      <w:spacing w:after="0"/>
    </w:pPr>
    <w:rPr>
      <w:i/>
      <w:iCs/>
    </w:rPr>
  </w:style>
  <w:style w:type="character" w:customStyle="1" w:styleId="HTMLAddressChar">
    <w:name w:val="HTML Address Char"/>
    <w:basedOn w:val="DefaultParagraphFont"/>
    <w:link w:val="HTMLAddress"/>
    <w:semiHidden/>
    <w:rsid w:val="00F47BF5"/>
    <w:rPr>
      <w:rFonts w:ascii="Arial" w:eastAsia="Calibri" w:hAnsi="Arial"/>
      <w:i/>
      <w:iCs/>
      <w:sz w:val="24"/>
      <w:szCs w:val="22"/>
    </w:rPr>
  </w:style>
  <w:style w:type="paragraph" w:styleId="HTMLPreformatted">
    <w:name w:val="HTML Preformatted"/>
    <w:basedOn w:val="Normal"/>
    <w:link w:val="HTMLPreformattedChar"/>
    <w:semiHidden/>
    <w:unhideWhenUsed/>
    <w:rsid w:val="00F47BF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47BF5"/>
    <w:rPr>
      <w:rFonts w:ascii="Consolas" w:eastAsia="Calibri" w:hAnsi="Consolas" w:cs="Consolas"/>
    </w:rPr>
  </w:style>
  <w:style w:type="paragraph" w:styleId="Index1">
    <w:name w:val="index 1"/>
    <w:basedOn w:val="Normal"/>
    <w:next w:val="Normal"/>
    <w:autoRedefine/>
    <w:semiHidden/>
    <w:unhideWhenUsed/>
    <w:rsid w:val="00F47BF5"/>
    <w:pPr>
      <w:spacing w:after="0"/>
      <w:ind w:left="240" w:hanging="240"/>
    </w:pPr>
  </w:style>
  <w:style w:type="paragraph" w:styleId="Index2">
    <w:name w:val="index 2"/>
    <w:basedOn w:val="Normal"/>
    <w:next w:val="Normal"/>
    <w:autoRedefine/>
    <w:semiHidden/>
    <w:unhideWhenUsed/>
    <w:rsid w:val="00F47BF5"/>
    <w:pPr>
      <w:spacing w:after="0"/>
      <w:ind w:left="480" w:hanging="240"/>
    </w:pPr>
  </w:style>
  <w:style w:type="paragraph" w:styleId="Index3">
    <w:name w:val="index 3"/>
    <w:basedOn w:val="Normal"/>
    <w:next w:val="Normal"/>
    <w:autoRedefine/>
    <w:semiHidden/>
    <w:unhideWhenUsed/>
    <w:rsid w:val="00F47BF5"/>
    <w:pPr>
      <w:spacing w:after="0"/>
      <w:ind w:left="720" w:hanging="240"/>
    </w:pPr>
  </w:style>
  <w:style w:type="paragraph" w:styleId="Index4">
    <w:name w:val="index 4"/>
    <w:basedOn w:val="Normal"/>
    <w:next w:val="Normal"/>
    <w:autoRedefine/>
    <w:semiHidden/>
    <w:unhideWhenUsed/>
    <w:rsid w:val="00F47BF5"/>
    <w:pPr>
      <w:spacing w:after="0"/>
      <w:ind w:left="960" w:hanging="240"/>
    </w:pPr>
  </w:style>
  <w:style w:type="paragraph" w:styleId="Index5">
    <w:name w:val="index 5"/>
    <w:basedOn w:val="Normal"/>
    <w:next w:val="Normal"/>
    <w:autoRedefine/>
    <w:semiHidden/>
    <w:unhideWhenUsed/>
    <w:rsid w:val="00F47BF5"/>
    <w:pPr>
      <w:spacing w:after="0"/>
      <w:ind w:left="1200" w:hanging="240"/>
    </w:pPr>
  </w:style>
  <w:style w:type="paragraph" w:styleId="Index6">
    <w:name w:val="index 6"/>
    <w:basedOn w:val="Normal"/>
    <w:next w:val="Normal"/>
    <w:autoRedefine/>
    <w:semiHidden/>
    <w:unhideWhenUsed/>
    <w:rsid w:val="00F47BF5"/>
    <w:pPr>
      <w:spacing w:after="0"/>
      <w:ind w:left="1440" w:hanging="240"/>
    </w:pPr>
  </w:style>
  <w:style w:type="paragraph" w:styleId="Index7">
    <w:name w:val="index 7"/>
    <w:basedOn w:val="Normal"/>
    <w:next w:val="Normal"/>
    <w:autoRedefine/>
    <w:semiHidden/>
    <w:unhideWhenUsed/>
    <w:rsid w:val="00F47BF5"/>
    <w:pPr>
      <w:spacing w:after="0"/>
      <w:ind w:left="1680" w:hanging="240"/>
    </w:pPr>
  </w:style>
  <w:style w:type="paragraph" w:styleId="Index8">
    <w:name w:val="index 8"/>
    <w:basedOn w:val="Normal"/>
    <w:next w:val="Normal"/>
    <w:autoRedefine/>
    <w:semiHidden/>
    <w:unhideWhenUsed/>
    <w:rsid w:val="00F47BF5"/>
    <w:pPr>
      <w:spacing w:after="0"/>
      <w:ind w:left="1920" w:hanging="240"/>
    </w:pPr>
  </w:style>
  <w:style w:type="paragraph" w:styleId="Index9">
    <w:name w:val="index 9"/>
    <w:basedOn w:val="Normal"/>
    <w:next w:val="Normal"/>
    <w:autoRedefine/>
    <w:semiHidden/>
    <w:unhideWhenUsed/>
    <w:rsid w:val="00F47BF5"/>
    <w:pPr>
      <w:spacing w:after="0"/>
      <w:ind w:left="2160" w:hanging="240"/>
    </w:pPr>
  </w:style>
  <w:style w:type="paragraph" w:styleId="IndexHeading">
    <w:name w:val="index heading"/>
    <w:basedOn w:val="Normal"/>
    <w:next w:val="Index1"/>
    <w:semiHidden/>
    <w:unhideWhenUsed/>
    <w:rsid w:val="00F47B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7B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7BF5"/>
    <w:rPr>
      <w:rFonts w:ascii="Arial" w:eastAsia="Calibri" w:hAnsi="Arial"/>
      <w:i/>
      <w:iCs/>
      <w:color w:val="4F81BD" w:themeColor="accent1"/>
      <w:sz w:val="24"/>
      <w:szCs w:val="22"/>
    </w:rPr>
  </w:style>
  <w:style w:type="paragraph" w:styleId="List">
    <w:name w:val="List"/>
    <w:basedOn w:val="Normal"/>
    <w:semiHidden/>
    <w:unhideWhenUsed/>
    <w:rsid w:val="00F47BF5"/>
    <w:pPr>
      <w:ind w:left="360" w:hanging="360"/>
      <w:contextualSpacing/>
    </w:pPr>
  </w:style>
  <w:style w:type="paragraph" w:styleId="List2">
    <w:name w:val="List 2"/>
    <w:basedOn w:val="Normal"/>
    <w:semiHidden/>
    <w:unhideWhenUsed/>
    <w:rsid w:val="00F47BF5"/>
    <w:pPr>
      <w:ind w:left="720" w:hanging="360"/>
      <w:contextualSpacing/>
    </w:pPr>
  </w:style>
  <w:style w:type="paragraph" w:styleId="List3">
    <w:name w:val="List 3"/>
    <w:basedOn w:val="Normal"/>
    <w:semiHidden/>
    <w:unhideWhenUsed/>
    <w:rsid w:val="00F47BF5"/>
    <w:pPr>
      <w:ind w:left="1080" w:hanging="360"/>
      <w:contextualSpacing/>
    </w:pPr>
  </w:style>
  <w:style w:type="paragraph" w:styleId="List4">
    <w:name w:val="List 4"/>
    <w:basedOn w:val="Normal"/>
    <w:rsid w:val="00F47BF5"/>
    <w:pPr>
      <w:ind w:left="1440" w:hanging="360"/>
      <w:contextualSpacing/>
    </w:pPr>
  </w:style>
  <w:style w:type="paragraph" w:styleId="List5">
    <w:name w:val="List 5"/>
    <w:basedOn w:val="Normal"/>
    <w:rsid w:val="00F47BF5"/>
    <w:pPr>
      <w:ind w:left="1800" w:hanging="360"/>
      <w:contextualSpacing/>
    </w:pPr>
  </w:style>
  <w:style w:type="paragraph" w:styleId="ListBullet2">
    <w:name w:val="List Bullet 2"/>
    <w:basedOn w:val="Normal"/>
    <w:uiPriority w:val="99"/>
    <w:semiHidden/>
    <w:unhideWhenUsed/>
    <w:rsid w:val="00F47BF5"/>
    <w:pPr>
      <w:numPr>
        <w:numId w:val="39"/>
      </w:numPr>
      <w:contextualSpacing/>
    </w:pPr>
  </w:style>
  <w:style w:type="paragraph" w:styleId="ListBullet3">
    <w:name w:val="List Bullet 3"/>
    <w:basedOn w:val="Normal"/>
    <w:semiHidden/>
    <w:unhideWhenUsed/>
    <w:rsid w:val="00F47BF5"/>
    <w:pPr>
      <w:numPr>
        <w:numId w:val="40"/>
      </w:numPr>
      <w:contextualSpacing/>
    </w:pPr>
  </w:style>
  <w:style w:type="paragraph" w:styleId="ListBullet4">
    <w:name w:val="List Bullet 4"/>
    <w:basedOn w:val="Normal"/>
    <w:semiHidden/>
    <w:unhideWhenUsed/>
    <w:rsid w:val="00F47BF5"/>
    <w:pPr>
      <w:numPr>
        <w:numId w:val="41"/>
      </w:numPr>
      <w:contextualSpacing/>
    </w:pPr>
  </w:style>
  <w:style w:type="paragraph" w:styleId="ListBullet5">
    <w:name w:val="List Bullet 5"/>
    <w:basedOn w:val="Normal"/>
    <w:semiHidden/>
    <w:unhideWhenUsed/>
    <w:rsid w:val="00F47BF5"/>
    <w:pPr>
      <w:numPr>
        <w:numId w:val="42"/>
      </w:numPr>
      <w:contextualSpacing/>
    </w:pPr>
  </w:style>
  <w:style w:type="paragraph" w:styleId="ListContinue">
    <w:name w:val="List Continue"/>
    <w:basedOn w:val="Normal"/>
    <w:semiHidden/>
    <w:unhideWhenUsed/>
    <w:rsid w:val="00F47BF5"/>
    <w:pPr>
      <w:ind w:left="360"/>
      <w:contextualSpacing/>
    </w:pPr>
  </w:style>
  <w:style w:type="paragraph" w:styleId="ListContinue2">
    <w:name w:val="List Continue 2"/>
    <w:basedOn w:val="Normal"/>
    <w:semiHidden/>
    <w:unhideWhenUsed/>
    <w:rsid w:val="00F47BF5"/>
    <w:pPr>
      <w:ind w:left="720"/>
      <w:contextualSpacing/>
    </w:pPr>
  </w:style>
  <w:style w:type="paragraph" w:styleId="ListContinue3">
    <w:name w:val="List Continue 3"/>
    <w:basedOn w:val="Normal"/>
    <w:semiHidden/>
    <w:unhideWhenUsed/>
    <w:rsid w:val="00F47BF5"/>
    <w:pPr>
      <w:ind w:left="1080"/>
      <w:contextualSpacing/>
    </w:pPr>
  </w:style>
  <w:style w:type="paragraph" w:styleId="ListContinue4">
    <w:name w:val="List Continue 4"/>
    <w:basedOn w:val="Normal"/>
    <w:semiHidden/>
    <w:unhideWhenUsed/>
    <w:rsid w:val="00F47BF5"/>
    <w:pPr>
      <w:ind w:left="1440"/>
      <w:contextualSpacing/>
    </w:pPr>
  </w:style>
  <w:style w:type="paragraph" w:styleId="ListContinue5">
    <w:name w:val="List Continue 5"/>
    <w:basedOn w:val="Normal"/>
    <w:semiHidden/>
    <w:unhideWhenUsed/>
    <w:rsid w:val="00F47BF5"/>
    <w:pPr>
      <w:ind w:left="1800"/>
      <w:contextualSpacing/>
    </w:pPr>
  </w:style>
  <w:style w:type="paragraph" w:styleId="ListNumber">
    <w:name w:val="List Number"/>
    <w:basedOn w:val="Normal"/>
    <w:uiPriority w:val="99"/>
    <w:rsid w:val="00F47BF5"/>
    <w:pPr>
      <w:numPr>
        <w:numId w:val="43"/>
      </w:numPr>
      <w:contextualSpacing/>
    </w:pPr>
  </w:style>
  <w:style w:type="paragraph" w:styleId="ListNumber2">
    <w:name w:val="List Number 2"/>
    <w:basedOn w:val="Normal"/>
    <w:semiHidden/>
    <w:unhideWhenUsed/>
    <w:rsid w:val="00F47BF5"/>
    <w:pPr>
      <w:numPr>
        <w:numId w:val="44"/>
      </w:numPr>
      <w:contextualSpacing/>
    </w:pPr>
  </w:style>
  <w:style w:type="paragraph" w:styleId="ListNumber3">
    <w:name w:val="List Number 3"/>
    <w:basedOn w:val="Normal"/>
    <w:semiHidden/>
    <w:unhideWhenUsed/>
    <w:rsid w:val="00F47BF5"/>
    <w:pPr>
      <w:numPr>
        <w:numId w:val="45"/>
      </w:numPr>
      <w:contextualSpacing/>
    </w:pPr>
  </w:style>
  <w:style w:type="paragraph" w:styleId="ListNumber4">
    <w:name w:val="List Number 4"/>
    <w:basedOn w:val="Normal"/>
    <w:semiHidden/>
    <w:unhideWhenUsed/>
    <w:rsid w:val="00F47BF5"/>
    <w:pPr>
      <w:numPr>
        <w:numId w:val="46"/>
      </w:numPr>
      <w:contextualSpacing/>
    </w:pPr>
  </w:style>
  <w:style w:type="paragraph" w:styleId="ListNumber5">
    <w:name w:val="List Number 5"/>
    <w:basedOn w:val="Normal"/>
    <w:semiHidden/>
    <w:unhideWhenUsed/>
    <w:rsid w:val="00F47BF5"/>
    <w:pPr>
      <w:numPr>
        <w:numId w:val="47"/>
      </w:numPr>
      <w:contextualSpacing/>
    </w:pPr>
  </w:style>
  <w:style w:type="paragraph" w:styleId="ListParagraph">
    <w:name w:val="List Paragraph"/>
    <w:basedOn w:val="Normal"/>
    <w:uiPriority w:val="34"/>
    <w:qFormat/>
    <w:rsid w:val="00F47BF5"/>
    <w:pPr>
      <w:ind w:left="720"/>
      <w:contextualSpacing/>
    </w:pPr>
  </w:style>
  <w:style w:type="paragraph" w:styleId="MacroText">
    <w:name w:val="macro"/>
    <w:link w:val="MacroTextChar"/>
    <w:semiHidden/>
    <w:unhideWhenUsed/>
    <w:rsid w:val="00F47BF5"/>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onsolas"/>
    </w:rPr>
  </w:style>
  <w:style w:type="character" w:customStyle="1" w:styleId="MacroTextChar">
    <w:name w:val="Macro Text Char"/>
    <w:basedOn w:val="DefaultParagraphFont"/>
    <w:link w:val="MacroText"/>
    <w:semiHidden/>
    <w:rsid w:val="00F47BF5"/>
    <w:rPr>
      <w:rFonts w:ascii="Consolas" w:eastAsia="Calibri" w:hAnsi="Consolas" w:cs="Consolas"/>
    </w:rPr>
  </w:style>
  <w:style w:type="paragraph" w:styleId="MessageHeader">
    <w:name w:val="Message Header"/>
    <w:basedOn w:val="Normal"/>
    <w:link w:val="MessageHeaderChar"/>
    <w:semiHidden/>
    <w:unhideWhenUsed/>
    <w:rsid w:val="00F47BF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47BF5"/>
    <w:rPr>
      <w:rFonts w:asciiTheme="majorHAnsi" w:eastAsiaTheme="majorEastAsia" w:hAnsiTheme="majorHAnsi" w:cstheme="majorBidi"/>
      <w:sz w:val="24"/>
      <w:szCs w:val="24"/>
      <w:shd w:val="pct20" w:color="auto" w:fill="auto"/>
    </w:rPr>
  </w:style>
  <w:style w:type="paragraph" w:styleId="NoSpacing">
    <w:name w:val="No Spacing"/>
    <w:uiPriority w:val="1"/>
    <w:qFormat/>
    <w:rsid w:val="00F47BF5"/>
    <w:rPr>
      <w:rFonts w:ascii="Arial" w:eastAsia="Calibri" w:hAnsi="Arial"/>
      <w:sz w:val="24"/>
      <w:szCs w:val="22"/>
    </w:rPr>
  </w:style>
  <w:style w:type="paragraph" w:styleId="NormalWeb">
    <w:name w:val="Normal (Web)"/>
    <w:basedOn w:val="Normal"/>
    <w:semiHidden/>
    <w:unhideWhenUsed/>
    <w:rsid w:val="00F47BF5"/>
    <w:rPr>
      <w:rFonts w:ascii="Times New Roman" w:hAnsi="Times New Roman"/>
      <w:szCs w:val="24"/>
    </w:rPr>
  </w:style>
  <w:style w:type="paragraph" w:styleId="NormalIndent">
    <w:name w:val="Normal Indent"/>
    <w:basedOn w:val="Normal"/>
    <w:semiHidden/>
    <w:unhideWhenUsed/>
    <w:rsid w:val="00F47BF5"/>
    <w:pPr>
      <w:ind w:left="720"/>
    </w:pPr>
  </w:style>
  <w:style w:type="paragraph" w:styleId="NoteHeading">
    <w:name w:val="Note Heading"/>
    <w:basedOn w:val="Normal"/>
    <w:next w:val="Normal"/>
    <w:link w:val="NoteHeadingChar"/>
    <w:semiHidden/>
    <w:unhideWhenUsed/>
    <w:rsid w:val="00F47BF5"/>
    <w:pPr>
      <w:spacing w:after="0"/>
    </w:pPr>
  </w:style>
  <w:style w:type="character" w:customStyle="1" w:styleId="NoteHeadingChar">
    <w:name w:val="Note Heading Char"/>
    <w:basedOn w:val="DefaultParagraphFont"/>
    <w:link w:val="NoteHeading"/>
    <w:semiHidden/>
    <w:rsid w:val="00F47BF5"/>
    <w:rPr>
      <w:rFonts w:ascii="Arial" w:eastAsia="Calibri" w:hAnsi="Arial"/>
      <w:sz w:val="24"/>
      <w:szCs w:val="22"/>
    </w:rPr>
  </w:style>
  <w:style w:type="paragraph" w:styleId="PlainText">
    <w:name w:val="Plain Text"/>
    <w:basedOn w:val="Normal"/>
    <w:link w:val="PlainTextChar"/>
    <w:semiHidden/>
    <w:unhideWhenUsed/>
    <w:rsid w:val="00F47BF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7BF5"/>
    <w:rPr>
      <w:rFonts w:ascii="Consolas" w:eastAsia="Calibri" w:hAnsi="Consolas" w:cs="Consolas"/>
      <w:sz w:val="21"/>
      <w:szCs w:val="21"/>
    </w:rPr>
  </w:style>
  <w:style w:type="paragraph" w:styleId="Quote">
    <w:name w:val="Quote"/>
    <w:basedOn w:val="Normal"/>
    <w:next w:val="Normal"/>
    <w:link w:val="QuoteChar"/>
    <w:uiPriority w:val="29"/>
    <w:qFormat/>
    <w:rsid w:val="00F47B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7BF5"/>
    <w:rPr>
      <w:rFonts w:ascii="Arial" w:eastAsia="Calibri" w:hAnsi="Arial"/>
      <w:i/>
      <w:iCs/>
      <w:color w:val="404040" w:themeColor="text1" w:themeTint="BF"/>
      <w:sz w:val="24"/>
      <w:szCs w:val="22"/>
    </w:rPr>
  </w:style>
  <w:style w:type="paragraph" w:styleId="Salutation">
    <w:name w:val="Salutation"/>
    <w:basedOn w:val="Normal"/>
    <w:next w:val="Normal"/>
    <w:link w:val="SalutationChar"/>
    <w:rsid w:val="00F47BF5"/>
  </w:style>
  <w:style w:type="character" w:customStyle="1" w:styleId="SalutationChar">
    <w:name w:val="Salutation Char"/>
    <w:basedOn w:val="DefaultParagraphFont"/>
    <w:link w:val="Salutation"/>
    <w:rsid w:val="00F47BF5"/>
    <w:rPr>
      <w:rFonts w:ascii="Arial" w:eastAsia="Calibri" w:hAnsi="Arial"/>
      <w:sz w:val="24"/>
      <w:szCs w:val="22"/>
    </w:rPr>
  </w:style>
  <w:style w:type="paragraph" w:styleId="Signature">
    <w:name w:val="Signature"/>
    <w:basedOn w:val="Normal"/>
    <w:link w:val="SignatureChar"/>
    <w:semiHidden/>
    <w:unhideWhenUsed/>
    <w:rsid w:val="00F47BF5"/>
    <w:pPr>
      <w:spacing w:after="0"/>
      <w:ind w:left="4320"/>
    </w:pPr>
  </w:style>
  <w:style w:type="character" w:customStyle="1" w:styleId="SignatureChar">
    <w:name w:val="Signature Char"/>
    <w:basedOn w:val="DefaultParagraphFont"/>
    <w:link w:val="Signature"/>
    <w:semiHidden/>
    <w:rsid w:val="00F47BF5"/>
    <w:rPr>
      <w:rFonts w:ascii="Arial" w:eastAsia="Calibri" w:hAnsi="Arial"/>
      <w:sz w:val="24"/>
      <w:szCs w:val="22"/>
    </w:rPr>
  </w:style>
  <w:style w:type="paragraph" w:styleId="Subtitle">
    <w:name w:val="Subtitle"/>
    <w:basedOn w:val="Normal"/>
    <w:next w:val="Normal"/>
    <w:link w:val="SubtitleChar"/>
    <w:qFormat/>
    <w:rsid w:val="00F47BF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F47BF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F47BF5"/>
    <w:pPr>
      <w:spacing w:after="0"/>
      <w:ind w:left="240" w:hanging="240"/>
    </w:pPr>
  </w:style>
  <w:style w:type="paragraph" w:styleId="TableofFigures">
    <w:name w:val="table of figures"/>
    <w:basedOn w:val="Normal"/>
    <w:next w:val="Normal"/>
    <w:uiPriority w:val="99"/>
    <w:semiHidden/>
    <w:unhideWhenUsed/>
    <w:rsid w:val="00F47BF5"/>
    <w:pPr>
      <w:spacing w:after="0"/>
    </w:pPr>
  </w:style>
  <w:style w:type="paragraph" w:styleId="Title">
    <w:name w:val="Title"/>
    <w:basedOn w:val="Normal"/>
    <w:next w:val="Normal"/>
    <w:link w:val="TitleChar"/>
    <w:qFormat/>
    <w:rsid w:val="00F47B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7BF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F47BF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47BF5"/>
    <w:pPr>
      <w:spacing w:after="100"/>
    </w:pPr>
  </w:style>
  <w:style w:type="paragraph" w:styleId="TOC2">
    <w:name w:val="toc 2"/>
    <w:basedOn w:val="Normal"/>
    <w:next w:val="Normal"/>
    <w:autoRedefine/>
    <w:uiPriority w:val="39"/>
    <w:semiHidden/>
    <w:unhideWhenUsed/>
    <w:rsid w:val="00F47BF5"/>
    <w:pPr>
      <w:spacing w:after="100"/>
      <w:ind w:left="240"/>
    </w:pPr>
  </w:style>
  <w:style w:type="paragraph" w:styleId="TOC3">
    <w:name w:val="toc 3"/>
    <w:basedOn w:val="Normal"/>
    <w:next w:val="Normal"/>
    <w:autoRedefine/>
    <w:uiPriority w:val="39"/>
    <w:semiHidden/>
    <w:unhideWhenUsed/>
    <w:rsid w:val="00F47BF5"/>
    <w:pPr>
      <w:spacing w:after="100"/>
      <w:ind w:left="480"/>
    </w:pPr>
  </w:style>
  <w:style w:type="paragraph" w:styleId="TOC4">
    <w:name w:val="toc 4"/>
    <w:basedOn w:val="Normal"/>
    <w:next w:val="Normal"/>
    <w:autoRedefine/>
    <w:semiHidden/>
    <w:unhideWhenUsed/>
    <w:rsid w:val="00F47BF5"/>
    <w:pPr>
      <w:spacing w:after="100"/>
      <w:ind w:left="720"/>
    </w:pPr>
  </w:style>
  <w:style w:type="paragraph" w:styleId="TOC5">
    <w:name w:val="toc 5"/>
    <w:basedOn w:val="Normal"/>
    <w:next w:val="Normal"/>
    <w:autoRedefine/>
    <w:semiHidden/>
    <w:unhideWhenUsed/>
    <w:rsid w:val="00F47BF5"/>
    <w:pPr>
      <w:spacing w:after="100"/>
      <w:ind w:left="960"/>
    </w:pPr>
  </w:style>
  <w:style w:type="paragraph" w:styleId="TOC6">
    <w:name w:val="toc 6"/>
    <w:basedOn w:val="Normal"/>
    <w:next w:val="Normal"/>
    <w:autoRedefine/>
    <w:semiHidden/>
    <w:unhideWhenUsed/>
    <w:rsid w:val="00F47BF5"/>
    <w:pPr>
      <w:spacing w:after="100"/>
      <w:ind w:left="1200"/>
    </w:pPr>
  </w:style>
  <w:style w:type="paragraph" w:styleId="TOC7">
    <w:name w:val="toc 7"/>
    <w:basedOn w:val="Normal"/>
    <w:next w:val="Normal"/>
    <w:autoRedefine/>
    <w:semiHidden/>
    <w:unhideWhenUsed/>
    <w:rsid w:val="00F47BF5"/>
    <w:pPr>
      <w:spacing w:after="100"/>
      <w:ind w:left="1440"/>
    </w:pPr>
  </w:style>
  <w:style w:type="paragraph" w:styleId="TOC8">
    <w:name w:val="toc 8"/>
    <w:basedOn w:val="Normal"/>
    <w:next w:val="Normal"/>
    <w:autoRedefine/>
    <w:semiHidden/>
    <w:unhideWhenUsed/>
    <w:rsid w:val="00F47BF5"/>
    <w:pPr>
      <w:spacing w:after="100"/>
      <w:ind w:left="1680"/>
    </w:pPr>
  </w:style>
  <w:style w:type="paragraph" w:styleId="TOC9">
    <w:name w:val="toc 9"/>
    <w:basedOn w:val="Normal"/>
    <w:next w:val="Normal"/>
    <w:autoRedefine/>
    <w:semiHidden/>
    <w:unhideWhenUsed/>
    <w:rsid w:val="00F47BF5"/>
    <w:pPr>
      <w:spacing w:after="100"/>
      <w:ind w:left="1920"/>
    </w:pPr>
  </w:style>
  <w:style w:type="paragraph" w:styleId="TOCHeading">
    <w:name w:val="TOC Heading"/>
    <w:basedOn w:val="Heading1"/>
    <w:next w:val="Normal"/>
    <w:uiPriority w:val="39"/>
    <w:semiHidden/>
    <w:unhideWhenUsed/>
    <w:qFormat/>
    <w:rsid w:val="00F47BF5"/>
    <w:pPr>
      <w:keepLines/>
      <w:tabs>
        <w:tab w:val="clear" w:pos="1080"/>
      </w:tabs>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 w:type="character" w:styleId="CommentReference">
    <w:name w:val="annotation reference"/>
    <w:basedOn w:val="DefaultParagraphFont"/>
    <w:uiPriority w:val="99"/>
    <w:semiHidden/>
    <w:unhideWhenUsed/>
    <w:rsid w:val="001239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71356a-17f7-4eb2-bdb0-b7bf751667d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EFBC815455041BB147A80B2454C53" ma:contentTypeVersion="1" ma:contentTypeDescription="Create a new document." ma:contentTypeScope="" ma:versionID="c1af4961a581796b8ad145f13c134122">
  <xsd:schema xmlns:xsd="http://www.w3.org/2001/XMLSchema" xmlns:xs="http://www.w3.org/2001/XMLSchema" xmlns:p="http://schemas.microsoft.com/office/2006/metadata/properties" xmlns:ns3="1a71356a-17f7-4eb2-bdb0-b7bf751667df" targetNamespace="http://schemas.microsoft.com/office/2006/metadata/properties" ma:root="true" ma:fieldsID="8fc839175dd6eb8f7800f976f41e9acf" ns3:_="">
    <xsd:import namespace="1a71356a-17f7-4eb2-bdb0-b7bf751667d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1356a-17f7-4eb2-bdb0-b7bf75166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5DA20-F8D4-4ED0-9F3F-B623A96F1F1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1a71356a-17f7-4eb2-bdb0-b7bf751667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1D8471-5139-4B65-A390-7CF7F184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1356a-17f7-4eb2-bdb0-b7bf75166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47529-68DE-4AC0-8923-ABA904A69804}">
  <ds:schemaRefs>
    <ds:schemaRef ds:uri="http://schemas.openxmlformats.org/officeDocument/2006/bibliography"/>
  </ds:schemaRefs>
</ds:datastoreItem>
</file>

<file path=customXml/itemProps4.xml><?xml version="1.0" encoding="utf-8"?>
<ds:datastoreItem xmlns:ds="http://schemas.openxmlformats.org/officeDocument/2006/customXml" ds:itemID="{58537542-3B56-47A1-B58C-368265B56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5923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32 12 43 Porous Asphalt</vt:lpstr>
    </vt:vector>
  </TitlesOfParts>
  <Manager>SFPUC</Manager>
  <Company>SFPUC</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12 43 Porous Asphalt</dc:title>
  <dc:subject>Porous Asphalt</dc:subject>
  <dc:creator>Michael Mitchell</dc:creator>
  <cp:lastModifiedBy>Pilat, Katie</cp:lastModifiedBy>
  <cp:revision>7</cp:revision>
  <cp:lastPrinted>2014-10-24T18:34:00Z</cp:lastPrinted>
  <dcterms:created xsi:type="dcterms:W3CDTF">2016-02-23T00:21:00Z</dcterms:created>
  <dcterms:modified xsi:type="dcterms:W3CDTF">2024-10-11T19:23:00Z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0x010100DBDEFBC815455041BB147A80B2454C53</vt:lpwstr>
  </property>
</Properties>
</file>